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2B3F" w14:textId="77777777" w:rsidR="00E824FD" w:rsidRPr="00AB14AB" w:rsidRDefault="00E824FD" w:rsidP="00E824FD">
      <w:pPr>
        <w:pBdr>
          <w:bottom w:val="single" w:sz="4" w:space="1" w:color="auto"/>
        </w:pBdr>
        <w:spacing w:after="200" w:line="276" w:lineRule="auto"/>
        <w:ind w:right="96"/>
        <w:rPr>
          <w:rFonts w:cs="Arial"/>
          <w:b/>
          <w:color w:val="00728F"/>
          <w:sz w:val="32"/>
          <w:lang w:val="en-AU"/>
        </w:rPr>
      </w:pPr>
      <w:r w:rsidRPr="00AB14AB">
        <w:rPr>
          <w:noProof/>
          <w:lang w:eastAsia="en-GB"/>
        </w:rPr>
        <w:drawing>
          <wp:inline distT="0" distB="0" distL="0" distR="0" wp14:anchorId="1BCCD304" wp14:editId="1BC7F73A">
            <wp:extent cx="2219325" cy="1362075"/>
            <wp:effectExtent l="19050" t="0" r="9525" b="0"/>
            <wp:docPr id="7" name="Picture 7" descr="LSA_Logo_short (Jpeg Interchang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_Logo_short (Jpeg Interchange format)"/>
                    <pic:cNvPicPr>
                      <a:picLocks noChangeAspect="1" noChangeArrowheads="1"/>
                    </pic:cNvPicPr>
                  </pic:nvPicPr>
                  <pic:blipFill>
                    <a:blip r:embed="rId5"/>
                    <a:srcRect/>
                    <a:stretch>
                      <a:fillRect/>
                    </a:stretch>
                  </pic:blipFill>
                  <pic:spPr bwMode="auto">
                    <a:xfrm>
                      <a:off x="0" y="0"/>
                      <a:ext cx="2219325" cy="1362075"/>
                    </a:xfrm>
                    <a:prstGeom prst="rect">
                      <a:avLst/>
                    </a:prstGeom>
                    <a:noFill/>
                    <a:ln w="9525">
                      <a:noFill/>
                      <a:miter lim="800000"/>
                      <a:headEnd/>
                      <a:tailEnd/>
                    </a:ln>
                  </pic:spPr>
                </pic:pic>
              </a:graphicData>
            </a:graphic>
          </wp:inline>
        </w:drawing>
      </w:r>
      <w:bookmarkStart w:id="0" w:name="Q"/>
      <w:bookmarkEnd w:id="0"/>
      <w:r w:rsidRPr="00AB14AB">
        <w:rPr>
          <w:rFonts w:cs="Arial"/>
          <w:b/>
          <w:color w:val="00728F"/>
          <w:sz w:val="32"/>
          <w:lang w:val="en-AU"/>
        </w:rPr>
        <w:t xml:space="preserve">LSA Data Protection Policy (Recruitment)  </w:t>
      </w:r>
    </w:p>
    <w:p w14:paraId="5DC5ED52" w14:textId="77777777" w:rsidR="00E824FD" w:rsidRPr="00AB14AB" w:rsidRDefault="00E824FD" w:rsidP="00E824FD">
      <w:pPr>
        <w:spacing w:after="0" w:line="240" w:lineRule="auto"/>
        <w:jc w:val="center"/>
        <w:outlineLvl w:val="0"/>
        <w:rPr>
          <w:rFonts w:ascii="Calibri" w:eastAsia="Times New Roman" w:hAnsi="Calibri" w:cs="Times New Roman"/>
          <w:b/>
          <w:sz w:val="24"/>
          <w:szCs w:val="24"/>
          <w:lang w:val="en-US"/>
        </w:rPr>
      </w:pPr>
      <w:r w:rsidRPr="00AB14AB">
        <w:rPr>
          <w:rFonts w:ascii="Calibri" w:eastAsia="Times New Roman" w:hAnsi="Calibri" w:cs="Times New Roman"/>
          <w:b/>
          <w:sz w:val="24"/>
          <w:szCs w:val="24"/>
          <w:lang w:val="en-US"/>
        </w:rPr>
        <w:t>JOB APPLICANT DATA POLICY</w:t>
      </w:r>
    </w:p>
    <w:p w14:paraId="0D2E500A" w14:textId="77777777" w:rsidR="00E824FD" w:rsidRPr="00AB14AB" w:rsidRDefault="00E824FD" w:rsidP="00E824FD">
      <w:pPr>
        <w:spacing w:after="0" w:line="240" w:lineRule="auto"/>
        <w:jc w:val="both"/>
        <w:rPr>
          <w:rFonts w:ascii="Calibri" w:eastAsia="Times New Roman" w:hAnsi="Calibri" w:cs="Times New Roman"/>
          <w:lang w:val="en-US"/>
        </w:rPr>
      </w:pPr>
    </w:p>
    <w:p w14:paraId="44C13CAA" w14:textId="77777777" w:rsidR="00E824FD" w:rsidRPr="00AB14AB" w:rsidRDefault="00E824FD" w:rsidP="00E824FD">
      <w:pPr>
        <w:spacing w:after="0" w:line="240" w:lineRule="auto"/>
        <w:jc w:val="both"/>
        <w:rPr>
          <w:rFonts w:ascii="Calibri" w:eastAsia="Times New Roman" w:hAnsi="Calibri" w:cs="Times New Roman"/>
          <w:lang w:val="en-US"/>
        </w:rPr>
      </w:pPr>
    </w:p>
    <w:p w14:paraId="444125F7"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lang w:val="en-US"/>
        </w:rPr>
        <w:t xml:space="preserve">This document sets out the Company’s policy on the protection of information relating to job applicants. </w:t>
      </w:r>
      <w:r w:rsidRPr="00AB14AB">
        <w:rPr>
          <w:rFonts w:ascii="Calibri" w:eastAsia="Times New Roman" w:hAnsi="Calibri" w:cs="Times New Roman"/>
        </w:rPr>
        <w:t xml:space="preserve">Protecting the confidentiality and integrity of personal data is a critical responsibility that the Company </w:t>
      </w:r>
      <w:proofErr w:type="gramStart"/>
      <w:r w:rsidRPr="00AB14AB">
        <w:rPr>
          <w:rFonts w:ascii="Calibri" w:eastAsia="Times New Roman" w:hAnsi="Calibri" w:cs="Times New Roman"/>
        </w:rPr>
        <w:t>takes seriously at all times</w:t>
      </w:r>
      <w:proofErr w:type="gramEnd"/>
      <w:r w:rsidRPr="00AB14AB">
        <w:rPr>
          <w:rFonts w:ascii="Calibri" w:eastAsia="Times New Roman" w:hAnsi="Calibri" w:cs="Times New Roman"/>
        </w:rPr>
        <w:t xml:space="preserve">. The Company </w:t>
      </w:r>
      <w:r w:rsidRPr="00AB14AB">
        <w:rPr>
          <w:rFonts w:ascii="Calibri" w:eastAsia="Times New Roman" w:hAnsi="Calibri" w:cs="Times New Roman"/>
          <w:lang w:val="en-US"/>
        </w:rPr>
        <w:t>will ensure that data is always processed in accordance with the provisions of relevant data protection legislation, including the General Data Protection Regulation (GDPR).</w:t>
      </w:r>
    </w:p>
    <w:p w14:paraId="125A5744" w14:textId="77777777" w:rsidR="00E824FD" w:rsidRPr="00AB14AB" w:rsidRDefault="00E824FD" w:rsidP="00E824FD">
      <w:pPr>
        <w:spacing w:after="0" w:line="240" w:lineRule="auto"/>
        <w:jc w:val="both"/>
        <w:rPr>
          <w:rFonts w:ascii="Calibri" w:eastAsia="Times New Roman" w:hAnsi="Calibri" w:cs="Times New Roman"/>
          <w:lang w:val="en-US"/>
        </w:rPr>
      </w:pPr>
    </w:p>
    <w:p w14:paraId="2ED279B6" w14:textId="77777777" w:rsidR="00E824FD" w:rsidRPr="00AB14AB" w:rsidRDefault="00E824FD" w:rsidP="00E824FD">
      <w:pPr>
        <w:spacing w:after="0" w:line="240" w:lineRule="auto"/>
        <w:jc w:val="both"/>
        <w:rPr>
          <w:rFonts w:ascii="Calibri" w:eastAsia="Times New Roman" w:hAnsi="Calibri" w:cs="Times New Roman"/>
          <w:lang w:val="en-US"/>
        </w:rPr>
      </w:pPr>
    </w:p>
    <w:p w14:paraId="5B9402D2" w14:textId="77777777" w:rsidR="00E824FD" w:rsidRPr="00AB14AB" w:rsidRDefault="00E824FD" w:rsidP="00E824FD">
      <w:pPr>
        <w:spacing w:after="0" w:line="240" w:lineRule="auto"/>
        <w:jc w:val="both"/>
        <w:outlineLvl w:val="0"/>
        <w:rPr>
          <w:rFonts w:ascii="Calibri" w:eastAsia="Times New Roman" w:hAnsi="Calibri" w:cs="Times New Roman"/>
          <w:b/>
          <w:u w:val="single"/>
          <w:lang w:val="en-US"/>
        </w:rPr>
      </w:pPr>
      <w:r w:rsidRPr="00AB14AB">
        <w:rPr>
          <w:rFonts w:ascii="Calibri" w:eastAsia="Times New Roman" w:hAnsi="Calibri" w:cs="Times New Roman"/>
          <w:b/>
          <w:u w:val="single"/>
          <w:lang w:val="en-US"/>
        </w:rPr>
        <w:t>KEY DEFINITIONS</w:t>
      </w:r>
    </w:p>
    <w:p w14:paraId="583D2BF9" w14:textId="77777777" w:rsidR="00E824FD" w:rsidRPr="00AB14AB" w:rsidRDefault="00E824FD" w:rsidP="00E824FD">
      <w:pPr>
        <w:spacing w:after="0" w:line="240" w:lineRule="auto"/>
        <w:jc w:val="both"/>
        <w:rPr>
          <w:rFonts w:ascii="Calibri" w:eastAsia="Times New Roman" w:hAnsi="Calibri" w:cs="Times New Roman"/>
          <w:lang w:val="en-US"/>
        </w:rPr>
      </w:pPr>
    </w:p>
    <w:p w14:paraId="3DCCC8B2"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Data processing</w:t>
      </w:r>
    </w:p>
    <w:p w14:paraId="743C3B50"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lang w:val="en-US"/>
        </w:rPr>
        <w:t xml:space="preserve">Data processing is </w:t>
      </w:r>
      <w:r w:rsidRPr="00AB14AB">
        <w:rPr>
          <w:rFonts w:ascii="Calibri" w:eastAsia="Times New Roman" w:hAnsi="Calibri" w:cs="Times New Roman"/>
        </w:rPr>
        <w:t xml:space="preserve">any activity that involves the use of personal data. It includes obtaining, </w:t>
      </w:r>
      <w:proofErr w:type="gramStart"/>
      <w:r w:rsidRPr="00AB14AB">
        <w:rPr>
          <w:rFonts w:ascii="Calibri" w:eastAsia="Times New Roman" w:hAnsi="Calibri" w:cs="Times New Roman"/>
        </w:rPr>
        <w:t>recording</w:t>
      </w:r>
      <w:proofErr w:type="gramEnd"/>
      <w:r w:rsidRPr="00AB14AB">
        <w:rPr>
          <w:rFonts w:ascii="Calibri" w:eastAsia="Times New Roman" w:hAnsi="Calibri" w:cs="Times New Roman"/>
        </w:rPr>
        <w:t xml:space="preserve"> or holding the data, or carrying out any operation or set of operations on the data including organising, amending, retrieving, using, disclosing, erasing or destroying it. Processing also includes transmitting or transferring personal data to third parties. </w:t>
      </w:r>
    </w:p>
    <w:p w14:paraId="45BC666C" w14:textId="77777777" w:rsidR="00E824FD" w:rsidRPr="00AB14AB" w:rsidRDefault="00E824FD" w:rsidP="00E824FD">
      <w:pPr>
        <w:spacing w:after="0" w:line="240" w:lineRule="auto"/>
        <w:jc w:val="both"/>
        <w:rPr>
          <w:rFonts w:ascii="Calibri" w:eastAsia="Times New Roman" w:hAnsi="Calibri" w:cs="Times New Roman"/>
        </w:rPr>
      </w:pPr>
    </w:p>
    <w:p w14:paraId="67B20889" w14:textId="77777777" w:rsidR="00E824FD" w:rsidRPr="00AB14AB" w:rsidRDefault="00E824FD" w:rsidP="00E824FD">
      <w:pPr>
        <w:spacing w:after="0" w:line="240" w:lineRule="auto"/>
        <w:jc w:val="both"/>
        <w:outlineLvl w:val="0"/>
        <w:rPr>
          <w:rFonts w:ascii="Calibri" w:eastAsia="Times New Roman" w:hAnsi="Calibri" w:cs="Times New Roman"/>
          <w:b/>
        </w:rPr>
      </w:pPr>
      <w:r w:rsidRPr="00AB14AB">
        <w:rPr>
          <w:rFonts w:ascii="Calibri" w:eastAsia="Times New Roman" w:hAnsi="Calibri" w:cs="Times New Roman"/>
          <w:b/>
        </w:rPr>
        <w:t>Personal data</w:t>
      </w:r>
    </w:p>
    <w:p w14:paraId="33FE5EAA"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Personal data is any information identifying a data subject (a living person to whom the data relates). It includes information relating to a data subject that can be identified (directly or indirectly) from that data alone or in combination with other identifiers the Company possesses or can reasonably access. Personal data can be factual (for example, a name, email address, </w:t>
      </w:r>
      <w:proofErr w:type="gramStart"/>
      <w:r w:rsidRPr="00AB14AB">
        <w:rPr>
          <w:rFonts w:ascii="Calibri" w:eastAsia="Times New Roman" w:hAnsi="Calibri" w:cs="Times New Roman"/>
        </w:rPr>
        <w:t>location</w:t>
      </w:r>
      <w:proofErr w:type="gramEnd"/>
      <w:r w:rsidRPr="00AB14AB">
        <w:rPr>
          <w:rFonts w:ascii="Calibri" w:eastAsia="Times New Roman" w:hAnsi="Calibri" w:cs="Times New Roman"/>
        </w:rPr>
        <w:t xml:space="preserve"> or date of birth) or an opinion about that person’s actions or behaviour.</w:t>
      </w:r>
    </w:p>
    <w:p w14:paraId="40827301" w14:textId="77777777" w:rsidR="00E824FD" w:rsidRPr="00AB14AB" w:rsidRDefault="00E824FD" w:rsidP="00E824FD">
      <w:pPr>
        <w:spacing w:after="0" w:line="240" w:lineRule="auto"/>
        <w:jc w:val="both"/>
        <w:rPr>
          <w:rFonts w:ascii="Calibri" w:eastAsia="Times New Roman" w:hAnsi="Calibri" w:cs="Times New Roman"/>
        </w:rPr>
      </w:pPr>
    </w:p>
    <w:p w14:paraId="6782BFA2" w14:textId="77777777" w:rsidR="00E824FD" w:rsidRPr="00AB14AB" w:rsidRDefault="00E824FD" w:rsidP="00E824FD">
      <w:pPr>
        <w:spacing w:after="0" w:line="240" w:lineRule="auto"/>
        <w:jc w:val="both"/>
        <w:outlineLvl w:val="0"/>
        <w:rPr>
          <w:rFonts w:ascii="Calibri" w:eastAsia="Times New Roman" w:hAnsi="Calibri" w:cs="Times New Roman"/>
          <w:b/>
        </w:rPr>
      </w:pPr>
      <w:r w:rsidRPr="00AB14AB">
        <w:rPr>
          <w:rFonts w:ascii="Calibri" w:eastAsia="Times New Roman" w:hAnsi="Calibri" w:cs="Times New Roman"/>
          <w:b/>
        </w:rPr>
        <w:t xml:space="preserve">Sensitive personal data </w:t>
      </w:r>
    </w:p>
    <w:p w14:paraId="1DFE94A0"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Sensitive personal data is a special category of information which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14:paraId="4A9891BF" w14:textId="77777777" w:rsidR="00E824FD" w:rsidRPr="00AB14AB" w:rsidRDefault="00E824FD" w:rsidP="00E824FD">
      <w:pPr>
        <w:spacing w:after="0" w:line="240" w:lineRule="auto"/>
        <w:jc w:val="both"/>
        <w:rPr>
          <w:rFonts w:ascii="Calibri" w:eastAsia="Times New Roman" w:hAnsi="Calibri" w:cs="Times New Roman"/>
        </w:rPr>
      </w:pPr>
    </w:p>
    <w:p w14:paraId="5A1C1B23" w14:textId="77777777" w:rsidR="00E824FD" w:rsidRPr="00AB14AB" w:rsidRDefault="00E824FD" w:rsidP="00E824FD">
      <w:pPr>
        <w:spacing w:after="0" w:line="240" w:lineRule="auto"/>
        <w:jc w:val="both"/>
        <w:rPr>
          <w:rFonts w:ascii="Calibri" w:eastAsia="Times New Roman" w:hAnsi="Calibri" w:cs="Times New Roman"/>
        </w:rPr>
      </w:pPr>
    </w:p>
    <w:p w14:paraId="0349E3E3" w14:textId="77777777" w:rsidR="00E824FD" w:rsidRPr="00AB14AB" w:rsidRDefault="00E824FD" w:rsidP="00E824FD">
      <w:pPr>
        <w:spacing w:after="0" w:line="240" w:lineRule="auto"/>
        <w:jc w:val="both"/>
        <w:outlineLvl w:val="0"/>
        <w:rPr>
          <w:rFonts w:ascii="Calibri" w:eastAsia="Times New Roman" w:hAnsi="Calibri" w:cs="Times New Roman"/>
          <w:b/>
          <w:u w:val="single"/>
          <w:lang w:val="en-US"/>
        </w:rPr>
      </w:pPr>
      <w:r w:rsidRPr="00AB14AB">
        <w:rPr>
          <w:rFonts w:ascii="Calibri" w:eastAsia="Times New Roman" w:hAnsi="Calibri" w:cs="Times New Roman"/>
          <w:b/>
          <w:u w:val="single"/>
          <w:lang w:val="en-US"/>
        </w:rPr>
        <w:t>PRIVACY NOTICE</w:t>
      </w:r>
    </w:p>
    <w:p w14:paraId="44B82A98"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lang w:val="en-US"/>
        </w:rPr>
        <w:t xml:space="preserve">This policy, together with the information contained in the table of applicant data appended to the policy, constitutes a privacy notice setting out the information the Company holds about applicants, the purpose for which this data is held and the lawful basis on which it is held. </w:t>
      </w:r>
      <w:r w:rsidRPr="00AB14AB">
        <w:rPr>
          <w:rFonts w:ascii="Calibri" w:eastAsia="Times New Roman" w:hAnsi="Calibri" w:cs="Times New Roman"/>
        </w:rPr>
        <w:t>The Company may process personal information without applicants’ knowledge or consent, in compliance with this policy, where this is required or permitted by law.</w:t>
      </w:r>
    </w:p>
    <w:p w14:paraId="6846ECB9" w14:textId="77777777" w:rsidR="00E824FD" w:rsidRPr="00AB14AB" w:rsidRDefault="00E824FD" w:rsidP="00E824FD">
      <w:pPr>
        <w:spacing w:after="0" w:line="240" w:lineRule="auto"/>
        <w:jc w:val="both"/>
        <w:rPr>
          <w:rFonts w:ascii="Calibri" w:eastAsia="Times New Roman" w:hAnsi="Calibri" w:cs="Times New Roman"/>
        </w:rPr>
      </w:pPr>
    </w:p>
    <w:p w14:paraId="03F46E72"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lang w:val="en-US"/>
        </w:rPr>
        <w:t xml:space="preserve">If the purpose for processing any piece of data about applicants should change, the company will update the table of applicant data with the new purpose and the lawful basis for processing the data and will notify applicants. </w:t>
      </w:r>
    </w:p>
    <w:p w14:paraId="533DBAD8" w14:textId="63CD5335" w:rsidR="00E824FD" w:rsidRDefault="00E824FD" w:rsidP="00E824FD">
      <w:pPr>
        <w:spacing w:after="0" w:line="240" w:lineRule="auto"/>
        <w:jc w:val="both"/>
        <w:rPr>
          <w:rFonts w:ascii="Calibri" w:eastAsia="Times New Roman" w:hAnsi="Calibri" w:cs="Times New Roman"/>
          <w:lang w:val="en-US"/>
        </w:rPr>
      </w:pPr>
    </w:p>
    <w:p w14:paraId="56FE12FC" w14:textId="6C2B3B9D" w:rsidR="00E824FD" w:rsidRDefault="00E824FD" w:rsidP="00E824FD">
      <w:pPr>
        <w:spacing w:after="0" w:line="240" w:lineRule="auto"/>
        <w:jc w:val="both"/>
        <w:rPr>
          <w:rFonts w:ascii="Calibri" w:eastAsia="Times New Roman" w:hAnsi="Calibri" w:cs="Times New Roman"/>
          <w:lang w:val="en-US"/>
        </w:rPr>
      </w:pPr>
    </w:p>
    <w:p w14:paraId="519AEFB8" w14:textId="77777777" w:rsidR="00E824FD" w:rsidRPr="00AB14AB" w:rsidRDefault="00E824FD" w:rsidP="00E824FD">
      <w:pPr>
        <w:spacing w:after="0" w:line="240" w:lineRule="auto"/>
        <w:jc w:val="both"/>
        <w:rPr>
          <w:rFonts w:ascii="Calibri" w:eastAsia="Times New Roman" w:hAnsi="Calibri" w:cs="Times New Roman"/>
          <w:lang w:val="en-US"/>
        </w:rPr>
      </w:pPr>
    </w:p>
    <w:p w14:paraId="0235C97D" w14:textId="77777777" w:rsidR="00E824FD" w:rsidRPr="00AB14AB" w:rsidRDefault="00E824FD" w:rsidP="00E824FD">
      <w:pPr>
        <w:spacing w:after="0" w:line="240" w:lineRule="auto"/>
        <w:jc w:val="both"/>
        <w:rPr>
          <w:rFonts w:ascii="Calibri" w:eastAsia="Times New Roman" w:hAnsi="Calibri" w:cs="Times New Roman"/>
          <w:lang w:val="en-US"/>
        </w:rPr>
      </w:pPr>
    </w:p>
    <w:p w14:paraId="647F6BCB" w14:textId="77777777" w:rsidR="00E824FD" w:rsidRPr="00AB14AB" w:rsidRDefault="00E824FD" w:rsidP="00E824FD">
      <w:pPr>
        <w:spacing w:after="0" w:line="240" w:lineRule="auto"/>
        <w:jc w:val="both"/>
        <w:outlineLvl w:val="0"/>
        <w:rPr>
          <w:rFonts w:ascii="Calibri" w:eastAsia="Times New Roman" w:hAnsi="Calibri" w:cs="Times New Roman"/>
          <w:b/>
          <w:u w:val="single"/>
          <w:lang w:val="en-US"/>
        </w:rPr>
      </w:pPr>
      <w:r w:rsidRPr="00AB14AB">
        <w:rPr>
          <w:rFonts w:ascii="Calibri" w:eastAsia="Times New Roman" w:hAnsi="Calibri" w:cs="Times New Roman"/>
          <w:b/>
          <w:u w:val="single"/>
          <w:lang w:val="en-US"/>
        </w:rPr>
        <w:lastRenderedPageBreak/>
        <w:t>FAIR PROCESSING OF DATA</w:t>
      </w:r>
    </w:p>
    <w:p w14:paraId="07572B1C" w14:textId="77777777" w:rsidR="00E824FD" w:rsidRPr="00AB14AB" w:rsidRDefault="00E824FD" w:rsidP="00E824FD">
      <w:pPr>
        <w:spacing w:after="0" w:line="240" w:lineRule="auto"/>
        <w:jc w:val="both"/>
        <w:rPr>
          <w:rFonts w:ascii="Calibri" w:eastAsia="Times New Roman" w:hAnsi="Calibri" w:cs="Times New Roman"/>
          <w:lang w:val="en-US"/>
        </w:rPr>
      </w:pPr>
    </w:p>
    <w:p w14:paraId="361D8BEB" w14:textId="77777777" w:rsidR="00E824FD" w:rsidRPr="00AB14AB" w:rsidRDefault="00E824FD" w:rsidP="00E824FD">
      <w:pPr>
        <w:spacing w:after="0" w:line="240" w:lineRule="auto"/>
        <w:jc w:val="both"/>
        <w:outlineLvl w:val="0"/>
        <w:rPr>
          <w:rFonts w:ascii="Calibri" w:eastAsia="Times New Roman" w:hAnsi="Calibri" w:cs="Times New Roman"/>
          <w:b/>
        </w:rPr>
      </w:pPr>
      <w:r w:rsidRPr="00AB14AB">
        <w:rPr>
          <w:rFonts w:ascii="Calibri" w:eastAsia="Times New Roman" w:hAnsi="Calibri" w:cs="Times New Roman"/>
          <w:b/>
        </w:rPr>
        <w:t>Fair processing principles</w:t>
      </w:r>
    </w:p>
    <w:p w14:paraId="268D796F"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lang w:val="en-US"/>
        </w:rPr>
        <w:t>In processing applicants’ data, the following principles will be adhered to. Personal data will be:</w:t>
      </w:r>
    </w:p>
    <w:p w14:paraId="1C78609B"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 xml:space="preserve">Used lawfully, fairly and in a transparent </w:t>
      </w:r>
      <w:proofErr w:type="gramStart"/>
      <w:r w:rsidRPr="00AB14AB">
        <w:rPr>
          <w:rFonts w:ascii="Calibri" w:eastAsia="Times New Roman" w:hAnsi="Calibri" w:cs="serif"/>
          <w:color w:val="000000"/>
          <w:lang w:val="en-US"/>
        </w:rPr>
        <w:t>way;</w:t>
      </w:r>
      <w:proofErr w:type="gramEnd"/>
    </w:p>
    <w:p w14:paraId="511EE683"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 xml:space="preserve">Collected only for valid purposes that are clearly explained and not used in any way that is incompatible with those </w:t>
      </w:r>
      <w:proofErr w:type="gramStart"/>
      <w:r w:rsidRPr="00AB14AB">
        <w:rPr>
          <w:rFonts w:ascii="Calibri" w:eastAsia="Times New Roman" w:hAnsi="Calibri" w:cs="serif"/>
          <w:color w:val="000000"/>
          <w:lang w:val="en-US"/>
        </w:rPr>
        <w:t>purposes;</w:t>
      </w:r>
      <w:proofErr w:type="gramEnd"/>
    </w:p>
    <w:p w14:paraId="297DFF04"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 xml:space="preserve">Relevant to specific purposes and limited only to those </w:t>
      </w:r>
      <w:proofErr w:type="gramStart"/>
      <w:r w:rsidRPr="00AB14AB">
        <w:rPr>
          <w:rFonts w:ascii="Calibri" w:eastAsia="Times New Roman" w:hAnsi="Calibri" w:cs="serif"/>
          <w:color w:val="000000"/>
          <w:lang w:val="en-US"/>
        </w:rPr>
        <w:t>purposes;</w:t>
      </w:r>
      <w:proofErr w:type="gramEnd"/>
    </w:p>
    <w:p w14:paraId="61AD049B"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 xml:space="preserve">Accurate and kept up to </w:t>
      </w:r>
      <w:proofErr w:type="gramStart"/>
      <w:r w:rsidRPr="00AB14AB">
        <w:rPr>
          <w:rFonts w:ascii="Calibri" w:eastAsia="Times New Roman" w:hAnsi="Calibri" w:cs="serif"/>
          <w:color w:val="000000"/>
          <w:lang w:val="en-US"/>
        </w:rPr>
        <w:t>date;</w:t>
      </w:r>
      <w:proofErr w:type="gramEnd"/>
    </w:p>
    <w:p w14:paraId="4596AB70"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 xml:space="preserve">Kept only as long </w:t>
      </w:r>
      <w:proofErr w:type="spellStart"/>
      <w:r w:rsidRPr="00AB14AB">
        <w:rPr>
          <w:rFonts w:ascii="Calibri" w:eastAsia="Times New Roman" w:hAnsi="Calibri" w:cs="serif"/>
          <w:color w:val="000000"/>
          <w:lang w:val="en-US"/>
        </w:rPr>
        <w:t>a</w:t>
      </w:r>
      <w:proofErr w:type="spellEnd"/>
      <w:r w:rsidRPr="00AB14AB">
        <w:rPr>
          <w:rFonts w:ascii="Calibri" w:eastAsia="Times New Roman" w:hAnsi="Calibri" w:cs="serif"/>
          <w:color w:val="000000"/>
          <w:lang w:val="en-US"/>
        </w:rPr>
        <w:t xml:space="preserve"> necessary for the specified purposes; and</w:t>
      </w:r>
    </w:p>
    <w:p w14:paraId="403BCE90" w14:textId="77777777" w:rsidR="00E824FD" w:rsidRPr="00AB14AB" w:rsidRDefault="00E824FD" w:rsidP="00E824FD">
      <w:pPr>
        <w:widowControl w:val="0"/>
        <w:numPr>
          <w:ilvl w:val="0"/>
          <w:numId w:val="1"/>
        </w:numPr>
        <w:autoSpaceDE w:val="0"/>
        <w:autoSpaceDN w:val="0"/>
        <w:adjustRightInd w:val="0"/>
        <w:spacing w:after="0" w:line="240" w:lineRule="auto"/>
        <w:ind w:left="749" w:right="43"/>
        <w:rPr>
          <w:rFonts w:ascii="Calibri" w:eastAsia="Times New Roman" w:hAnsi="Calibri" w:cs="serif"/>
          <w:color w:val="000000"/>
          <w:lang w:val="en-US"/>
        </w:rPr>
      </w:pPr>
      <w:r w:rsidRPr="00AB14AB">
        <w:rPr>
          <w:rFonts w:ascii="Calibri" w:eastAsia="Times New Roman" w:hAnsi="Calibri" w:cs="serif"/>
          <w:color w:val="000000"/>
          <w:lang w:val="en-US"/>
        </w:rPr>
        <w:t>Kept securely.</w:t>
      </w:r>
    </w:p>
    <w:p w14:paraId="51705336" w14:textId="77777777" w:rsidR="00E824FD" w:rsidRPr="00AB14AB" w:rsidRDefault="00E824FD" w:rsidP="00E824FD">
      <w:pPr>
        <w:spacing w:after="0" w:line="240" w:lineRule="auto"/>
        <w:jc w:val="both"/>
        <w:rPr>
          <w:rFonts w:ascii="Calibri" w:eastAsia="Times New Roman" w:hAnsi="Calibri" w:cs="Times New Roman"/>
          <w:b/>
          <w:lang w:val="en-US"/>
        </w:rPr>
      </w:pPr>
    </w:p>
    <w:p w14:paraId="5D3523D8"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Lawful processing of personal data</w:t>
      </w:r>
    </w:p>
    <w:p w14:paraId="5AACFE84" w14:textId="77777777" w:rsidR="00E824FD" w:rsidRPr="00AB14AB" w:rsidRDefault="00E824FD" w:rsidP="00E824FD">
      <w:pPr>
        <w:spacing w:after="0" w:line="240" w:lineRule="auto"/>
        <w:jc w:val="both"/>
        <w:rPr>
          <w:rFonts w:ascii="Calibri" w:eastAsia="Times New Roman" w:hAnsi="Calibri" w:cs="Times New Roman"/>
          <w:b/>
          <w:lang w:val="en-US"/>
        </w:rPr>
      </w:pPr>
      <w:r w:rsidRPr="00AB14AB">
        <w:rPr>
          <w:rFonts w:ascii="Calibri" w:eastAsia="Times New Roman" w:hAnsi="Calibri" w:cs="Times New Roman"/>
        </w:rPr>
        <w:t>Personal information will only be processed when there is a lawful basis for doing so. Most commonly, the Company will use personal information in the following circumstances:</w:t>
      </w:r>
    </w:p>
    <w:p w14:paraId="39AD011E" w14:textId="77777777" w:rsidR="00E824FD" w:rsidRPr="00AB14AB" w:rsidRDefault="00E824FD" w:rsidP="00E824FD">
      <w:pPr>
        <w:numPr>
          <w:ilvl w:val="0"/>
          <w:numId w:val="3"/>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when it is needed to perform applicants’ contracts of </w:t>
      </w:r>
      <w:proofErr w:type="gramStart"/>
      <w:r w:rsidRPr="00AB14AB">
        <w:rPr>
          <w:rFonts w:ascii="Calibri" w:eastAsia="Times New Roman" w:hAnsi="Calibri" w:cs="Times New Roman"/>
        </w:rPr>
        <w:t>employment;</w:t>
      </w:r>
      <w:proofErr w:type="gramEnd"/>
    </w:p>
    <w:p w14:paraId="3D10BCB5" w14:textId="77777777" w:rsidR="00E824FD" w:rsidRPr="00AB14AB" w:rsidRDefault="00E824FD" w:rsidP="00E824FD">
      <w:pPr>
        <w:numPr>
          <w:ilvl w:val="0"/>
          <w:numId w:val="3"/>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needed to comply with a legal obligation; or</w:t>
      </w:r>
    </w:p>
    <w:p w14:paraId="4624394E" w14:textId="77777777" w:rsidR="00E824FD" w:rsidRPr="00AB14AB" w:rsidRDefault="00E824FD" w:rsidP="00E824FD">
      <w:pPr>
        <w:numPr>
          <w:ilvl w:val="0"/>
          <w:numId w:val="3"/>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necessary for the Company’s legitimate interests (or those of a third party) and applicants’ interests and fundamental rights do not override those interests.</w:t>
      </w:r>
    </w:p>
    <w:p w14:paraId="76B73F19" w14:textId="77777777" w:rsidR="00E824FD" w:rsidRPr="00AB14AB" w:rsidRDefault="00E824FD" w:rsidP="00E824FD">
      <w:pPr>
        <w:spacing w:after="0" w:line="240" w:lineRule="auto"/>
        <w:jc w:val="both"/>
        <w:rPr>
          <w:rFonts w:ascii="Calibri" w:eastAsia="Times New Roman" w:hAnsi="Calibri" w:cs="Times New Roman"/>
        </w:rPr>
      </w:pPr>
    </w:p>
    <w:p w14:paraId="6EFC9325"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The Company may also use personal information in the following situations, which are likely to be rare:</w:t>
      </w:r>
    </w:p>
    <w:p w14:paraId="6AA5F663" w14:textId="77777777" w:rsidR="00E824FD" w:rsidRPr="00AB14AB" w:rsidRDefault="00E824FD" w:rsidP="00E824FD">
      <w:pPr>
        <w:numPr>
          <w:ilvl w:val="0"/>
          <w:numId w:val="4"/>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necessary to protect applicants’ interests (or someone else’s interests); or</w:t>
      </w:r>
    </w:p>
    <w:p w14:paraId="7BEA2F38" w14:textId="77777777" w:rsidR="00E824FD" w:rsidRPr="00AB14AB" w:rsidRDefault="00E824FD" w:rsidP="00E824FD">
      <w:pPr>
        <w:numPr>
          <w:ilvl w:val="0"/>
          <w:numId w:val="4"/>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necessary in the public interest [or for official purposes].</w:t>
      </w:r>
    </w:p>
    <w:p w14:paraId="62226FD4" w14:textId="77777777" w:rsidR="00E824FD" w:rsidRPr="00AB14AB" w:rsidRDefault="00E824FD" w:rsidP="00E824FD">
      <w:pPr>
        <w:spacing w:after="0" w:line="240" w:lineRule="auto"/>
        <w:jc w:val="both"/>
        <w:rPr>
          <w:rFonts w:ascii="Calibri" w:eastAsia="Times New Roman" w:hAnsi="Calibri" w:cs="Times New Roman"/>
          <w:lang w:val="en-US"/>
        </w:rPr>
      </w:pPr>
    </w:p>
    <w:p w14:paraId="5E28F4DA"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Lawful processing of sensitive personal data</w:t>
      </w:r>
    </w:p>
    <w:p w14:paraId="64462B0E"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The Company may process special categories of personal information in the following circumstances:</w:t>
      </w:r>
    </w:p>
    <w:p w14:paraId="72EEAC72" w14:textId="77777777" w:rsidR="00E824FD" w:rsidRPr="00AB14AB" w:rsidRDefault="00E824FD" w:rsidP="00E824FD">
      <w:pPr>
        <w:numPr>
          <w:ilvl w:val="0"/>
          <w:numId w:val="6"/>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 limited circumstances, with explicit written </w:t>
      </w:r>
      <w:proofErr w:type="gramStart"/>
      <w:r w:rsidRPr="00AB14AB">
        <w:rPr>
          <w:rFonts w:ascii="Calibri" w:eastAsia="Times New Roman" w:hAnsi="Calibri" w:cs="Times New Roman"/>
        </w:rPr>
        <w:t>consent;</w:t>
      </w:r>
      <w:proofErr w:type="gramEnd"/>
    </w:p>
    <w:p w14:paraId="495A94FD" w14:textId="77777777" w:rsidR="00E824FD" w:rsidRPr="00AB14AB" w:rsidRDefault="00E824FD" w:rsidP="00E824FD">
      <w:pPr>
        <w:numPr>
          <w:ilvl w:val="0"/>
          <w:numId w:val="5"/>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 order to meet legal </w:t>
      </w:r>
      <w:proofErr w:type="gramStart"/>
      <w:r w:rsidRPr="00AB14AB">
        <w:rPr>
          <w:rFonts w:ascii="Calibri" w:eastAsia="Times New Roman" w:hAnsi="Calibri" w:cs="Times New Roman"/>
        </w:rPr>
        <w:t>obligations;</w:t>
      </w:r>
      <w:proofErr w:type="gramEnd"/>
    </w:p>
    <w:p w14:paraId="33128640" w14:textId="77777777" w:rsidR="00E824FD" w:rsidRPr="00AB14AB" w:rsidRDefault="00E824FD" w:rsidP="00E824FD">
      <w:pPr>
        <w:numPr>
          <w:ilvl w:val="0"/>
          <w:numId w:val="5"/>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needed in the public interest, such as for equal opportunities monitoring [or in relation to the Company’s occupational pension scheme]; or</w:t>
      </w:r>
    </w:p>
    <w:p w14:paraId="68B52502" w14:textId="77777777" w:rsidR="00E824FD" w:rsidRPr="00AB14AB" w:rsidRDefault="00E824FD" w:rsidP="00E824FD">
      <w:pPr>
        <w:numPr>
          <w:ilvl w:val="0"/>
          <w:numId w:val="5"/>
        </w:numPr>
        <w:spacing w:after="0" w:line="240" w:lineRule="auto"/>
        <w:jc w:val="both"/>
        <w:rPr>
          <w:rFonts w:ascii="Calibri" w:eastAsia="Times New Roman" w:hAnsi="Calibri" w:cs="Times New Roman"/>
        </w:rPr>
      </w:pPr>
      <w:r w:rsidRPr="00AB14AB">
        <w:rPr>
          <w:rFonts w:ascii="Calibri" w:eastAsia="Times New Roman" w:hAnsi="Calibri" w:cs="Times New Roman"/>
        </w:rPr>
        <w:t>when it is needed to assess working capacity on health grounds, subject to appropriate confidentiality safeguards.</w:t>
      </w:r>
    </w:p>
    <w:p w14:paraId="08599CD0" w14:textId="77777777" w:rsidR="00E824FD" w:rsidRPr="00AB14AB" w:rsidRDefault="00E824FD" w:rsidP="00E824FD">
      <w:pPr>
        <w:spacing w:after="0" w:line="240" w:lineRule="auto"/>
        <w:jc w:val="both"/>
        <w:rPr>
          <w:rFonts w:ascii="Calibri" w:eastAsia="Times New Roman" w:hAnsi="Calibri" w:cs="Times New Roman"/>
        </w:rPr>
      </w:pPr>
    </w:p>
    <w:p w14:paraId="70E19E4B"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Less commonly, the Company may process this type of information where it is needed in relation to legal claims or where it is needed to protect an applicant’s interests (or someone else’s interests) and the applicant is not capable of giving consent, or where an applicant has already made the information public. The Company may use particularly sensitive personal information in the following ways:</w:t>
      </w:r>
    </w:p>
    <w:p w14:paraId="1A828F12"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w:t>
      </w:r>
    </w:p>
    <w:p w14:paraId="1DB767B4" w14:textId="77777777" w:rsidR="00E824FD" w:rsidRPr="00AB14AB" w:rsidRDefault="00E824FD" w:rsidP="00E824FD">
      <w:pPr>
        <w:numPr>
          <w:ilvl w:val="0"/>
          <w:numId w:val="2"/>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information relating to leaves of absence, which may include sickness absence or family related leaves, may be used to comply with employment and other </w:t>
      </w:r>
      <w:proofErr w:type="gramStart"/>
      <w:r w:rsidRPr="00AB14AB">
        <w:rPr>
          <w:rFonts w:ascii="Calibri" w:eastAsia="Times New Roman" w:hAnsi="Calibri" w:cs="Times New Roman"/>
        </w:rPr>
        <w:t>laws;</w:t>
      </w:r>
      <w:proofErr w:type="gramEnd"/>
    </w:p>
    <w:p w14:paraId="201226C8" w14:textId="77777777" w:rsidR="00E824FD" w:rsidRPr="00AB14AB" w:rsidRDefault="00E824FD" w:rsidP="00E824FD">
      <w:pPr>
        <w:spacing w:after="0" w:line="240" w:lineRule="auto"/>
        <w:ind w:left="720"/>
        <w:jc w:val="both"/>
        <w:rPr>
          <w:rFonts w:ascii="Calibri" w:eastAsia="Times New Roman" w:hAnsi="Calibri" w:cs="Times New Roman"/>
        </w:rPr>
      </w:pPr>
    </w:p>
    <w:p w14:paraId="73667795" w14:textId="77777777" w:rsidR="00E824FD" w:rsidRPr="00AB14AB" w:rsidRDefault="00E824FD" w:rsidP="00E824FD">
      <w:pPr>
        <w:numPr>
          <w:ilvl w:val="0"/>
          <w:numId w:val="2"/>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information about applicants’ physical or mental health, or disability status, may be used to ensure health and safety in the workplace and to assess fitness to work, to provide appropriate workplace adjustments, to monitor and manage sickness absence and to administer </w:t>
      </w:r>
      <w:proofErr w:type="gramStart"/>
      <w:r w:rsidRPr="00AB14AB">
        <w:rPr>
          <w:rFonts w:ascii="Calibri" w:eastAsia="Times New Roman" w:hAnsi="Calibri" w:cs="Times New Roman"/>
        </w:rPr>
        <w:t>benefits;</w:t>
      </w:r>
      <w:proofErr w:type="gramEnd"/>
    </w:p>
    <w:p w14:paraId="3D06806C" w14:textId="77777777" w:rsidR="00E824FD" w:rsidRPr="00AB14AB" w:rsidRDefault="00E824FD" w:rsidP="00E824FD">
      <w:pPr>
        <w:spacing w:after="0" w:line="240" w:lineRule="auto"/>
        <w:jc w:val="both"/>
        <w:rPr>
          <w:rFonts w:ascii="Calibri" w:eastAsia="Times New Roman" w:hAnsi="Calibri" w:cs="Times New Roman"/>
        </w:rPr>
      </w:pPr>
    </w:p>
    <w:p w14:paraId="3D797B49" w14:textId="77777777" w:rsidR="00E824FD" w:rsidRPr="00AB14AB" w:rsidRDefault="00E824FD" w:rsidP="00E824FD">
      <w:pPr>
        <w:numPr>
          <w:ilvl w:val="0"/>
          <w:numId w:val="2"/>
        </w:num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information about race or national or ethnic origin, religious, </w:t>
      </w:r>
      <w:proofErr w:type="gramStart"/>
      <w:r w:rsidRPr="00AB14AB">
        <w:rPr>
          <w:rFonts w:ascii="Calibri" w:eastAsia="Times New Roman" w:hAnsi="Calibri" w:cs="Times New Roman"/>
        </w:rPr>
        <w:t>philosophical</w:t>
      </w:r>
      <w:proofErr w:type="gramEnd"/>
      <w:r w:rsidRPr="00AB14AB">
        <w:rPr>
          <w:rFonts w:ascii="Calibri" w:eastAsia="Times New Roman" w:hAnsi="Calibri" w:cs="Times New Roman"/>
        </w:rPr>
        <w:t xml:space="preserve"> or moral beliefs, or sexual life or sexual orientation, may be used to ensure meaningful equal opportunity monitoring and reporting; and</w:t>
      </w:r>
    </w:p>
    <w:p w14:paraId="787B875E" w14:textId="77777777" w:rsidR="00E824FD" w:rsidRPr="00AB14AB" w:rsidRDefault="00E824FD" w:rsidP="00E824FD">
      <w:pPr>
        <w:spacing w:after="0" w:line="240" w:lineRule="auto"/>
        <w:jc w:val="both"/>
        <w:rPr>
          <w:rFonts w:ascii="Calibri" w:eastAsia="Times New Roman" w:hAnsi="Calibri" w:cs="Times New Roman"/>
        </w:rPr>
      </w:pPr>
    </w:p>
    <w:p w14:paraId="360517E9" w14:textId="77777777" w:rsidR="00E824FD" w:rsidRPr="00AB14AB" w:rsidRDefault="00E824FD" w:rsidP="00E824FD">
      <w:pPr>
        <w:numPr>
          <w:ilvl w:val="0"/>
          <w:numId w:val="2"/>
        </w:numPr>
        <w:spacing w:after="0" w:line="240" w:lineRule="auto"/>
        <w:jc w:val="both"/>
        <w:rPr>
          <w:rFonts w:ascii="Calibri" w:eastAsia="Times New Roman" w:hAnsi="Calibri" w:cs="Times New Roman"/>
        </w:rPr>
      </w:pPr>
      <w:r w:rsidRPr="00AB14AB">
        <w:rPr>
          <w:rFonts w:ascii="Calibri" w:eastAsia="Times New Roman" w:hAnsi="Calibri" w:cs="Times New Roman"/>
        </w:rPr>
        <w:t>information about trade union membership may be used to pay trade union premiums, register the status of a protected applicant and to comply with employment law obligations.</w:t>
      </w:r>
    </w:p>
    <w:p w14:paraId="7C731BBC" w14:textId="77777777" w:rsidR="00E824FD" w:rsidRPr="00AB14AB" w:rsidRDefault="00E824FD" w:rsidP="00E824FD">
      <w:pPr>
        <w:spacing w:after="0" w:line="240" w:lineRule="auto"/>
        <w:jc w:val="both"/>
        <w:rPr>
          <w:rFonts w:ascii="Calibri" w:eastAsia="Times New Roman" w:hAnsi="Calibri" w:cs="Times New Roman"/>
          <w:lang w:val="en-US"/>
        </w:rPr>
      </w:pPr>
    </w:p>
    <w:p w14:paraId="66FBF02F"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Lawful processing of information about criminal convictions</w:t>
      </w:r>
    </w:p>
    <w:p w14:paraId="6A3A22B3"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rPr>
      </w:pPr>
      <w:r w:rsidRPr="00AB14AB">
        <w:rPr>
          <w:rFonts w:ascii="Calibri" w:eastAsia="Times New Roman" w:hAnsi="Calibri" w:cs="serif"/>
          <w:color w:val="000000"/>
          <w:lang w:val="en-US"/>
        </w:rPr>
        <w:t>The Company envisages that it will hold information about criminal convictions. T</w:t>
      </w:r>
      <w:r w:rsidRPr="00AB14AB">
        <w:rPr>
          <w:rFonts w:ascii="Calibri" w:eastAsia="Times New Roman" w:hAnsi="Calibri" w:cs="serif"/>
          <w:color w:val="000000"/>
        </w:rPr>
        <w:t xml:space="preserve">he Company will only use this information where it has a legal basis for processing the information. This will usually be where </w:t>
      </w:r>
      <w:r w:rsidRPr="00AB14AB">
        <w:rPr>
          <w:rFonts w:ascii="Calibri" w:eastAsia="Times New Roman" w:hAnsi="Calibri" w:cs="serif"/>
          <w:color w:val="000000"/>
        </w:rPr>
        <w:lastRenderedPageBreak/>
        <w:t xml:space="preserve">such processing is necessary to carry out the Company’s obligations. Less commonly, the Company may use information relating to criminal convictions where it is necessary in relation to legal claims, where it is necessary to protect an applicant’s interests (or someone else’s interests) and the applicant is not capable of giving consent, or where the applicant has already made the information public. </w:t>
      </w:r>
    </w:p>
    <w:p w14:paraId="53520EE2"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0E11D67C" w14:textId="77777777" w:rsidR="00E824FD" w:rsidRPr="00AB14AB" w:rsidRDefault="00E824FD" w:rsidP="00E824FD">
      <w:pPr>
        <w:spacing w:after="0" w:line="240" w:lineRule="auto"/>
        <w:jc w:val="both"/>
        <w:rPr>
          <w:rFonts w:ascii="Calibri" w:eastAsia="Times New Roman" w:hAnsi="Calibri" w:cs="Times New Roman"/>
          <w:lang w:val="en-US"/>
        </w:rPr>
      </w:pPr>
    </w:p>
    <w:p w14:paraId="5D5E197A"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Consent to data processing</w:t>
      </w:r>
    </w:p>
    <w:p w14:paraId="7E0453A1"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rPr>
        <w:t xml:space="preserve">The Company does not require consent from applicants to process most types of applicant data. In addition, the Company will not usually need consent to use special categories of personal information </w:t>
      </w:r>
      <w:proofErr w:type="gramStart"/>
      <w:r w:rsidRPr="00AB14AB">
        <w:rPr>
          <w:rFonts w:ascii="Calibri" w:eastAsia="Times New Roman" w:hAnsi="Calibri" w:cs="Times New Roman"/>
        </w:rPr>
        <w:t>in order to</w:t>
      </w:r>
      <w:proofErr w:type="gramEnd"/>
      <w:r w:rsidRPr="00AB14AB">
        <w:rPr>
          <w:rFonts w:ascii="Calibri" w:eastAsia="Times New Roman" w:hAnsi="Calibri" w:cs="Times New Roman"/>
        </w:rPr>
        <w:t xml:space="preserve"> carry out legal obligations or exercise specific rights in the field of employment law. </w:t>
      </w:r>
    </w:p>
    <w:p w14:paraId="0709406D" w14:textId="77777777" w:rsidR="00E824FD" w:rsidRPr="00AB14AB" w:rsidRDefault="00E824FD" w:rsidP="00E824FD">
      <w:pPr>
        <w:spacing w:after="0" w:line="240" w:lineRule="auto"/>
        <w:jc w:val="both"/>
        <w:rPr>
          <w:rFonts w:ascii="Calibri" w:eastAsia="Times New Roman" w:hAnsi="Calibri" w:cs="Times New Roman"/>
        </w:rPr>
      </w:pPr>
    </w:p>
    <w:p w14:paraId="08F94FAC"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In limited circumstances, applicants may be asked for written consent to process sensitive data. In those circumstances, applicants will be provided with full details of the information that sought and the reason it is needed, so that applicants can carefully consider whether to consent. </w:t>
      </w:r>
    </w:p>
    <w:p w14:paraId="5F722431" w14:textId="77777777" w:rsidR="00E824FD" w:rsidRPr="00AB14AB" w:rsidRDefault="00E824FD" w:rsidP="00E824FD">
      <w:pPr>
        <w:spacing w:after="0" w:line="240" w:lineRule="auto"/>
        <w:jc w:val="both"/>
        <w:rPr>
          <w:rFonts w:ascii="Calibri" w:eastAsia="Times New Roman" w:hAnsi="Calibri" w:cs="Times New Roman"/>
        </w:rPr>
      </w:pPr>
    </w:p>
    <w:p w14:paraId="38E35A2C"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Where applicants have provided consent to the collection, </w:t>
      </w:r>
      <w:proofErr w:type="gramStart"/>
      <w:r w:rsidRPr="00AB14AB">
        <w:rPr>
          <w:rFonts w:ascii="Calibri" w:eastAsia="Times New Roman" w:hAnsi="Calibri" w:cs="Times New Roman"/>
        </w:rPr>
        <w:t>processing</w:t>
      </w:r>
      <w:proofErr w:type="gramEnd"/>
      <w:r w:rsidRPr="00AB14AB">
        <w:rPr>
          <w:rFonts w:ascii="Calibri" w:eastAsia="Times New Roman" w:hAnsi="Calibri" w:cs="Times New Roman"/>
        </w:rPr>
        <w:t xml:space="preserve"> and transfer of personal information for a specific purpose, they have the right to withdraw consent for that specific processing at any time. Once the Company has received notification of withdrawal of consent it will no longer process information for the purpose or purposes originally agreed </w:t>
      </w:r>
      <w:proofErr w:type="gramStart"/>
      <w:r w:rsidRPr="00AB14AB">
        <w:rPr>
          <w:rFonts w:ascii="Calibri" w:eastAsia="Times New Roman" w:hAnsi="Calibri" w:cs="Times New Roman"/>
        </w:rPr>
        <w:t>to, unless</w:t>
      </w:r>
      <w:proofErr w:type="gramEnd"/>
      <w:r w:rsidRPr="00AB14AB">
        <w:rPr>
          <w:rFonts w:ascii="Calibri" w:eastAsia="Times New Roman" w:hAnsi="Calibri" w:cs="Times New Roman"/>
        </w:rPr>
        <w:t xml:space="preserve"> it has another legitimate basis for doing so in law.</w:t>
      </w:r>
    </w:p>
    <w:p w14:paraId="050712D2" w14:textId="77777777" w:rsidR="00E824FD" w:rsidRPr="00AB14AB" w:rsidRDefault="00E824FD" w:rsidP="00E824FD">
      <w:pPr>
        <w:spacing w:after="0" w:line="240" w:lineRule="auto"/>
        <w:jc w:val="both"/>
        <w:rPr>
          <w:rFonts w:ascii="Calibri" w:eastAsia="Times New Roman" w:hAnsi="Calibri" w:cs="Times New Roman"/>
          <w:lang w:val="en-US"/>
        </w:rPr>
      </w:pPr>
    </w:p>
    <w:p w14:paraId="7B69A4AE"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Automated decision making</w:t>
      </w:r>
    </w:p>
    <w:p w14:paraId="1EDF8F5D"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The Company does not envisage that any decisions will be taken about applicants using automated means, however applicants will be notified if this position changes.</w:t>
      </w:r>
    </w:p>
    <w:p w14:paraId="018BA8D9" w14:textId="77777777" w:rsidR="00E824FD" w:rsidRPr="00AB14AB" w:rsidRDefault="00E824FD" w:rsidP="00E824FD">
      <w:pPr>
        <w:spacing w:after="0" w:line="240" w:lineRule="auto"/>
        <w:jc w:val="both"/>
        <w:rPr>
          <w:rFonts w:ascii="Calibri" w:eastAsia="Times New Roman" w:hAnsi="Calibri" w:cs="Times New Roman"/>
          <w:lang w:val="en-US"/>
        </w:rPr>
      </w:pPr>
    </w:p>
    <w:p w14:paraId="65D939F0" w14:textId="77777777" w:rsidR="00E824FD" w:rsidRPr="00AB14AB" w:rsidRDefault="00E824FD" w:rsidP="00E824FD">
      <w:pPr>
        <w:spacing w:after="0" w:line="240" w:lineRule="auto"/>
        <w:jc w:val="both"/>
        <w:rPr>
          <w:rFonts w:ascii="Calibri" w:eastAsia="Times New Roman" w:hAnsi="Calibri" w:cs="Times New Roman"/>
          <w:lang w:val="en-US"/>
        </w:rPr>
      </w:pPr>
    </w:p>
    <w:p w14:paraId="5990935D" w14:textId="77777777" w:rsidR="00E824FD" w:rsidRPr="00AB14AB" w:rsidRDefault="00E824FD" w:rsidP="00E824FD">
      <w:pPr>
        <w:spacing w:after="0" w:line="240" w:lineRule="auto"/>
        <w:jc w:val="both"/>
        <w:outlineLvl w:val="0"/>
        <w:rPr>
          <w:rFonts w:ascii="Calibri" w:eastAsia="Times New Roman" w:hAnsi="Calibri" w:cs="Times New Roman"/>
          <w:b/>
          <w:u w:val="single"/>
          <w:lang w:val="en-US"/>
        </w:rPr>
      </w:pPr>
      <w:r w:rsidRPr="00AB14AB">
        <w:rPr>
          <w:rFonts w:ascii="Calibri" w:eastAsia="Times New Roman" w:hAnsi="Calibri" w:cs="Times New Roman"/>
          <w:b/>
          <w:u w:val="single"/>
          <w:lang w:val="en-US"/>
        </w:rPr>
        <w:t>COLLECTION AND RETENTION OF DATA</w:t>
      </w:r>
    </w:p>
    <w:p w14:paraId="1A7240A9" w14:textId="77777777" w:rsidR="00E824FD" w:rsidRPr="00AB14AB" w:rsidRDefault="00E824FD" w:rsidP="00E824FD">
      <w:pPr>
        <w:spacing w:after="0" w:line="240" w:lineRule="auto"/>
        <w:jc w:val="both"/>
        <w:rPr>
          <w:rFonts w:ascii="Calibri" w:eastAsia="Times New Roman" w:hAnsi="Calibri" w:cs="Times New Roman"/>
          <w:lang w:val="en-US"/>
        </w:rPr>
      </w:pPr>
    </w:p>
    <w:p w14:paraId="2C27601F"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Collection of data</w:t>
      </w:r>
    </w:p>
    <w:p w14:paraId="7D9F5F19"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The Company will collect personal information about applicants through the application and recruitment process, either directly from candidates or sometimes from an employment agency or background check provider. The Company may sometimes collect additional information from third parties including former employers.</w:t>
      </w:r>
    </w:p>
    <w:p w14:paraId="66103A1D"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w:t>
      </w:r>
    </w:p>
    <w:p w14:paraId="17926A71"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rPr>
        <w:t>From time to time, the Company may collect additional personal information from an applicant. I</w:t>
      </w:r>
      <w:proofErr w:type="spellStart"/>
      <w:r w:rsidRPr="00AB14AB">
        <w:rPr>
          <w:rFonts w:ascii="Calibri" w:eastAsia="Times New Roman" w:hAnsi="Calibri" w:cs="Times New Roman"/>
          <w:lang w:val="en-US"/>
        </w:rPr>
        <w:t>f</w:t>
      </w:r>
      <w:proofErr w:type="spellEnd"/>
      <w:r w:rsidRPr="00AB14AB">
        <w:rPr>
          <w:rFonts w:ascii="Calibri" w:eastAsia="Times New Roman" w:hAnsi="Calibri" w:cs="Times New Roman"/>
          <w:lang w:val="en-US"/>
        </w:rPr>
        <w:t xml:space="preserve"> the Company requires to obtain additional personal information this policy will be updated, or applicants will receive a separate privacy notice setting out the purpose and lawful basis for processing the data. </w:t>
      </w:r>
    </w:p>
    <w:p w14:paraId="670A26D9" w14:textId="77777777" w:rsidR="00E824FD" w:rsidRPr="00AB14AB" w:rsidRDefault="00E824FD" w:rsidP="00E824FD">
      <w:pPr>
        <w:spacing w:after="0" w:line="240" w:lineRule="auto"/>
        <w:jc w:val="both"/>
        <w:rPr>
          <w:rFonts w:ascii="Calibri" w:eastAsia="Times New Roman" w:hAnsi="Calibri" w:cs="Times New Roman"/>
          <w:b/>
          <w:lang w:val="en-US"/>
        </w:rPr>
      </w:pPr>
    </w:p>
    <w:p w14:paraId="0B813CB6"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Retention of data</w:t>
      </w:r>
    </w:p>
    <w:p w14:paraId="7802B87A"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xml:space="preserve">The Company will only retain applicants’ personal information for as long as necessary to fulfil the purposes it was collected it for, including for the purposes of satisfying any legal, accounting, or reporting requirements. Details of retention periods for different aspects of personal information are set out in the table of applicant data appended to this policy. </w:t>
      </w:r>
    </w:p>
    <w:p w14:paraId="1B6C2086" w14:textId="77777777" w:rsidR="00E824FD" w:rsidRPr="00AB14AB" w:rsidRDefault="00E824FD" w:rsidP="00E824FD">
      <w:pPr>
        <w:spacing w:after="0" w:line="240" w:lineRule="auto"/>
        <w:jc w:val="both"/>
        <w:rPr>
          <w:rFonts w:ascii="Calibri" w:eastAsia="Times New Roman" w:hAnsi="Calibri" w:cs="Times New Roman"/>
        </w:rPr>
      </w:pPr>
    </w:p>
    <w:p w14:paraId="1E28866E"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When determining the appropriate retention period for personal data, the Company will consider the amount, nature, and sensitivity of the personal data, the potential risk of harm from unauthorised use or disclosure of personal data, the purposes for which the personal data is processed, whether the Company can achieve those purposes through other means, and the applicable legal requirements.</w:t>
      </w:r>
    </w:p>
    <w:p w14:paraId="13B9E3F5"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 </w:t>
      </w:r>
    </w:p>
    <w:p w14:paraId="5D6AF81B" w14:textId="77777777" w:rsidR="00E824FD" w:rsidRPr="00AB14AB" w:rsidRDefault="00E824FD" w:rsidP="00E824FD">
      <w:pPr>
        <w:spacing w:after="0" w:line="240" w:lineRule="auto"/>
        <w:jc w:val="both"/>
        <w:rPr>
          <w:rFonts w:ascii="Calibri" w:eastAsia="Times New Roman" w:hAnsi="Calibri" w:cs="Times New Roman"/>
        </w:rPr>
      </w:pPr>
      <w:r w:rsidRPr="00AB14AB">
        <w:rPr>
          <w:rFonts w:ascii="Calibri" w:eastAsia="Times New Roman" w:hAnsi="Calibri" w:cs="Times New Roman"/>
        </w:rPr>
        <w:t>In some circumstances the Company may anonymise personal information so that it can no longer be associated with individual applicants, in which case the Company may use such information without further notice to applicants. After the data retention period has expired, the Company will securely destroy applicants’ personal information.</w:t>
      </w:r>
    </w:p>
    <w:p w14:paraId="6BBD164C" w14:textId="3FEB3F15" w:rsidR="00E824FD" w:rsidRDefault="00E824FD" w:rsidP="00E824FD">
      <w:pPr>
        <w:spacing w:after="0" w:line="240" w:lineRule="auto"/>
        <w:jc w:val="both"/>
        <w:rPr>
          <w:rFonts w:ascii="Calibri" w:eastAsia="Times New Roman" w:hAnsi="Calibri" w:cs="Times New Roman"/>
          <w:b/>
          <w:lang w:val="en-US"/>
        </w:rPr>
      </w:pPr>
    </w:p>
    <w:p w14:paraId="3EDFEF48" w14:textId="77777777" w:rsidR="00E824FD" w:rsidRPr="00AB14AB" w:rsidRDefault="00E824FD" w:rsidP="00E824FD">
      <w:pPr>
        <w:spacing w:after="0" w:line="240" w:lineRule="auto"/>
        <w:jc w:val="both"/>
        <w:rPr>
          <w:rFonts w:ascii="Calibri" w:eastAsia="Times New Roman" w:hAnsi="Calibri" w:cs="Times New Roman"/>
          <w:b/>
          <w:lang w:val="en-US"/>
        </w:rPr>
      </w:pPr>
    </w:p>
    <w:p w14:paraId="500D506D" w14:textId="77777777" w:rsidR="00E824FD" w:rsidRPr="00AB14AB" w:rsidRDefault="00E824FD" w:rsidP="00E824FD">
      <w:pPr>
        <w:spacing w:after="0" w:line="240" w:lineRule="auto"/>
        <w:jc w:val="both"/>
        <w:rPr>
          <w:rFonts w:ascii="Calibri" w:eastAsia="Times New Roman" w:hAnsi="Calibri" w:cs="Times New Roman"/>
          <w:b/>
          <w:lang w:val="en-US"/>
        </w:rPr>
      </w:pPr>
    </w:p>
    <w:p w14:paraId="29D35851" w14:textId="77777777" w:rsidR="00E824FD" w:rsidRPr="00AB14AB" w:rsidRDefault="00E824FD" w:rsidP="00E824FD">
      <w:pPr>
        <w:spacing w:after="0" w:line="240" w:lineRule="auto"/>
        <w:jc w:val="both"/>
        <w:outlineLvl w:val="0"/>
        <w:rPr>
          <w:rFonts w:ascii="Calibri" w:eastAsia="Times New Roman" w:hAnsi="Calibri" w:cs="Times New Roman"/>
          <w:b/>
          <w:u w:val="single"/>
          <w:lang w:val="en-US"/>
        </w:rPr>
      </w:pPr>
      <w:r w:rsidRPr="00AB14AB">
        <w:rPr>
          <w:rFonts w:ascii="Calibri" w:eastAsia="Times New Roman" w:hAnsi="Calibri" w:cs="Times New Roman"/>
          <w:b/>
          <w:u w:val="single"/>
          <w:lang w:val="en-US"/>
        </w:rPr>
        <w:lastRenderedPageBreak/>
        <w:t>DATA SECURITY AND SHARING</w:t>
      </w:r>
    </w:p>
    <w:p w14:paraId="2BEFD26D" w14:textId="77777777" w:rsidR="00E824FD" w:rsidRPr="00AB14AB" w:rsidRDefault="00E824FD" w:rsidP="00E824FD">
      <w:pPr>
        <w:spacing w:after="0" w:line="240" w:lineRule="auto"/>
        <w:jc w:val="both"/>
        <w:rPr>
          <w:rFonts w:ascii="Calibri" w:eastAsia="Times New Roman" w:hAnsi="Calibri" w:cs="Times New Roman"/>
          <w:b/>
          <w:lang w:val="en-US"/>
        </w:rPr>
      </w:pPr>
    </w:p>
    <w:p w14:paraId="2A685F83" w14:textId="77777777" w:rsidR="00E824FD" w:rsidRPr="00AB14AB" w:rsidRDefault="00E824FD" w:rsidP="00E824FD">
      <w:pPr>
        <w:widowControl w:val="0"/>
        <w:autoSpaceDE w:val="0"/>
        <w:autoSpaceDN w:val="0"/>
        <w:adjustRightInd w:val="0"/>
        <w:spacing w:after="0" w:line="240" w:lineRule="auto"/>
        <w:ind w:left="30" w:right="50"/>
        <w:outlineLvl w:val="0"/>
        <w:rPr>
          <w:rFonts w:ascii="Calibri" w:eastAsia="Times New Roman" w:hAnsi="Calibri" w:cs="serif"/>
          <w:b/>
          <w:color w:val="000000"/>
          <w:lang w:val="en-US"/>
        </w:rPr>
      </w:pPr>
      <w:r w:rsidRPr="00AB14AB">
        <w:rPr>
          <w:rFonts w:ascii="Calibri" w:eastAsia="Times New Roman" w:hAnsi="Calibri" w:cs="serif"/>
          <w:b/>
          <w:color w:val="000000"/>
          <w:lang w:val="en-US"/>
        </w:rPr>
        <w:t>Data security</w:t>
      </w:r>
    </w:p>
    <w:p w14:paraId="0124FC1C"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xml:space="preserve">The Company has put in place appropriate security measures to prevent personal information from being accidentally lost, </w:t>
      </w:r>
      <w:proofErr w:type="gramStart"/>
      <w:r w:rsidRPr="00AB14AB">
        <w:rPr>
          <w:rFonts w:ascii="Calibri" w:eastAsia="Times New Roman" w:hAnsi="Calibri" w:cs="serif"/>
          <w:color w:val="000000"/>
          <w:lang w:val="en-US"/>
        </w:rPr>
        <w:t>used</w:t>
      </w:r>
      <w:proofErr w:type="gramEnd"/>
      <w:r w:rsidRPr="00AB14AB">
        <w:rPr>
          <w:rFonts w:ascii="Calibri" w:eastAsia="Times New Roman" w:hAnsi="Calibri" w:cs="serif"/>
          <w:color w:val="000000"/>
          <w:lang w:val="en-US"/>
        </w:rPr>
        <w:t xml:space="preserve"> or accessed in an </w:t>
      </w:r>
      <w:proofErr w:type="spellStart"/>
      <w:r w:rsidRPr="00AB14AB">
        <w:rPr>
          <w:rFonts w:ascii="Calibri" w:eastAsia="Times New Roman" w:hAnsi="Calibri" w:cs="serif"/>
          <w:color w:val="000000"/>
          <w:lang w:val="en-US"/>
        </w:rPr>
        <w:t>unauthorised</w:t>
      </w:r>
      <w:proofErr w:type="spellEnd"/>
      <w:r w:rsidRPr="00AB14AB">
        <w:rPr>
          <w:rFonts w:ascii="Calibri" w:eastAsia="Times New Roman" w:hAnsi="Calibri" w:cs="serif"/>
          <w:color w:val="000000"/>
          <w:lang w:val="en-US"/>
        </w:rPr>
        <w:t xml:space="preserve"> way, altered or disclosed. Details of these measures are available upon request. </w:t>
      </w:r>
    </w:p>
    <w:p w14:paraId="02E877A5"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p>
    <w:p w14:paraId="2B42B4A2"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Data sharing</w:t>
      </w:r>
    </w:p>
    <w:p w14:paraId="391878F6"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The Company may share personal information with third parties. The Company requires third parties to respect the security of applicant data and to treat it in accordance with the law. The Company may also need to share personal information with a regulator or to otherwise comply with the law.</w:t>
      </w:r>
    </w:p>
    <w:p w14:paraId="7AE55935"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p>
    <w:p w14:paraId="4B9C34B3"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The Company may also share applicant data with third-party service providers where it is necessary to administer the working relationship with applicants or where the Company has a legitimate interest in doing so.</w:t>
      </w:r>
    </w:p>
    <w:p w14:paraId="429E86FA"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highlight w:val="yellow"/>
          <w:lang w:val="en-US"/>
        </w:rPr>
      </w:pPr>
    </w:p>
    <w:p w14:paraId="56ACF764" w14:textId="77777777" w:rsidR="00E824FD" w:rsidRPr="00AB14AB" w:rsidRDefault="00E824FD" w:rsidP="00E824FD">
      <w:pPr>
        <w:widowControl w:val="0"/>
        <w:autoSpaceDE w:val="0"/>
        <w:autoSpaceDN w:val="0"/>
        <w:adjustRightInd w:val="0"/>
        <w:spacing w:after="0" w:line="240" w:lineRule="auto"/>
        <w:ind w:left="30" w:right="50"/>
        <w:rPr>
          <w:rFonts w:ascii="Calibri" w:eastAsia="Times New Roman" w:hAnsi="Calibri" w:cs="serif"/>
          <w:b/>
          <w:lang w:val="en-US"/>
        </w:rPr>
      </w:pPr>
      <w:r w:rsidRPr="00AB14AB">
        <w:rPr>
          <w:rFonts w:ascii="Calibri" w:eastAsia="Times New Roman" w:hAnsi="Calibri" w:cs="serif"/>
          <w:b/>
          <w:lang w:val="en-US"/>
        </w:rPr>
        <w:t>Transfer of data outside the EU</w:t>
      </w:r>
    </w:p>
    <w:p w14:paraId="449B979C" w14:textId="77777777" w:rsidR="00E824FD" w:rsidRPr="00AB14AB" w:rsidRDefault="00E824FD" w:rsidP="00E824FD">
      <w:pPr>
        <w:spacing w:after="0" w:line="240" w:lineRule="auto"/>
        <w:jc w:val="both"/>
        <w:rPr>
          <w:rFonts w:ascii="Calibri" w:eastAsia="Times New Roman" w:hAnsi="Calibri" w:cs="serif"/>
          <w:bCs/>
          <w:highlight w:val="yellow"/>
          <w:lang w:val="en-US"/>
        </w:rPr>
      </w:pPr>
      <w:r w:rsidRPr="00AB14AB">
        <w:rPr>
          <w:rFonts w:ascii="Calibri" w:eastAsia="Times New Roman" w:hAnsi="Calibri" w:cs="serif"/>
          <w:bCs/>
          <w:lang w:val="en-US"/>
        </w:rPr>
        <w:t xml:space="preserve">The organisation will comply with GDPR regulations. </w:t>
      </w:r>
    </w:p>
    <w:p w14:paraId="2014252C" w14:textId="77777777" w:rsidR="00E824FD" w:rsidRPr="00AB14AB" w:rsidRDefault="00E824FD" w:rsidP="00E824FD">
      <w:pPr>
        <w:spacing w:after="0" w:line="240" w:lineRule="auto"/>
        <w:jc w:val="both"/>
        <w:rPr>
          <w:rFonts w:ascii="Calibri" w:eastAsia="Times New Roman" w:hAnsi="Calibri" w:cs="serif"/>
          <w:b/>
          <w:bCs/>
          <w:lang w:val="en-US"/>
        </w:rPr>
      </w:pPr>
    </w:p>
    <w:p w14:paraId="3FE2D93C" w14:textId="77777777" w:rsidR="00E824FD" w:rsidRPr="00AB14AB" w:rsidRDefault="00E824FD" w:rsidP="00E824FD">
      <w:pPr>
        <w:spacing w:after="0" w:line="240" w:lineRule="auto"/>
        <w:jc w:val="both"/>
        <w:rPr>
          <w:rFonts w:ascii="Calibri" w:eastAsia="Times New Roman" w:hAnsi="Calibri" w:cs="Times New Roman"/>
          <w:b/>
          <w:lang w:val="en-US"/>
        </w:rPr>
      </w:pPr>
    </w:p>
    <w:p w14:paraId="7CB49AE0" w14:textId="77777777" w:rsidR="00E824FD" w:rsidRPr="00AB14AB" w:rsidRDefault="00E824FD" w:rsidP="00E824FD">
      <w:pPr>
        <w:widowControl w:val="0"/>
        <w:autoSpaceDE w:val="0"/>
        <w:autoSpaceDN w:val="0"/>
        <w:adjustRightInd w:val="0"/>
        <w:spacing w:after="0" w:line="240" w:lineRule="auto"/>
        <w:jc w:val="both"/>
        <w:outlineLvl w:val="0"/>
        <w:rPr>
          <w:rFonts w:ascii="Calibri" w:eastAsia="Times New Roman" w:hAnsi="Calibri" w:cs="serif"/>
          <w:b/>
          <w:bCs/>
          <w:color w:val="000000"/>
          <w:u w:val="single"/>
          <w:lang w:val="en-US"/>
        </w:rPr>
      </w:pPr>
      <w:r w:rsidRPr="00AB14AB">
        <w:rPr>
          <w:rFonts w:ascii="Calibri" w:eastAsia="Times New Roman" w:hAnsi="Calibri" w:cs="serif"/>
          <w:b/>
          <w:bCs/>
          <w:color w:val="000000"/>
          <w:u w:val="single"/>
          <w:lang w:val="en-US"/>
        </w:rPr>
        <w:t>STAFF MEMBER RIGHTS AND OBLIGATIONS</w:t>
      </w:r>
    </w:p>
    <w:p w14:paraId="37A6798A"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089167D9"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Accuracy of data</w:t>
      </w:r>
    </w:p>
    <w:p w14:paraId="4D499299" w14:textId="77777777" w:rsidR="00E824FD" w:rsidRPr="00AB14AB" w:rsidRDefault="00E824FD" w:rsidP="00E824FD">
      <w:pPr>
        <w:spacing w:after="0" w:line="240" w:lineRule="auto"/>
        <w:jc w:val="both"/>
        <w:rPr>
          <w:rFonts w:ascii="Calibri" w:eastAsia="Times New Roman" w:hAnsi="Calibri" w:cs="Times New Roman"/>
          <w:lang w:val="en-US"/>
        </w:rPr>
      </w:pPr>
      <w:r w:rsidRPr="00AB14AB">
        <w:rPr>
          <w:rFonts w:ascii="Calibri" w:eastAsia="Times New Roman" w:hAnsi="Calibri" w:cs="Times New Roman"/>
          <w:lang w:val="en-US"/>
        </w:rPr>
        <w:t>The Company will conduct regular reviews of the information held by it to ensure the relevancy of the information it holds. Applicants are under a duty to inform the Company of any changes to their current circumstances. Where an Applicant has concerns regarding the accuracy of personal data held by the Company, the Applicant should contact the Chief Executive to request an amendment to the data.</w:t>
      </w:r>
    </w:p>
    <w:p w14:paraId="1A89DC37"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35D1DB49" w14:textId="77777777" w:rsidR="00E824FD" w:rsidRPr="00AB14AB" w:rsidRDefault="00E824FD" w:rsidP="00E824FD">
      <w:pPr>
        <w:widowControl w:val="0"/>
        <w:autoSpaceDE w:val="0"/>
        <w:autoSpaceDN w:val="0"/>
        <w:adjustRightInd w:val="0"/>
        <w:spacing w:after="0" w:line="240" w:lineRule="auto"/>
        <w:jc w:val="both"/>
        <w:outlineLvl w:val="0"/>
        <w:rPr>
          <w:rFonts w:ascii="Calibri" w:eastAsia="Times New Roman" w:hAnsi="Calibri" w:cs="serif"/>
          <w:b/>
          <w:bCs/>
          <w:color w:val="000000"/>
          <w:lang w:val="en-US"/>
        </w:rPr>
      </w:pPr>
      <w:r w:rsidRPr="00AB14AB">
        <w:rPr>
          <w:rFonts w:ascii="Calibri" w:eastAsia="Times New Roman" w:hAnsi="Calibri" w:cs="serif"/>
          <w:b/>
          <w:bCs/>
          <w:color w:val="000000"/>
          <w:lang w:val="en-US"/>
        </w:rPr>
        <w:t>Applicant rights</w:t>
      </w:r>
    </w:p>
    <w:p w14:paraId="4ED646ED"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Under certain circumstances, applicants have the right to:</w:t>
      </w:r>
    </w:p>
    <w:p w14:paraId="0D6BCFE9"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7C13E100" w14:textId="77777777" w:rsidR="00E824FD" w:rsidRPr="00AB14AB" w:rsidRDefault="00E824FD" w:rsidP="00E824FD">
      <w:pPr>
        <w:widowControl w:val="0"/>
        <w:numPr>
          <w:ilvl w:val="0"/>
          <w:numId w:val="7"/>
        </w:numPr>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b/>
          <w:bCs/>
          <w:color w:val="000000"/>
          <w:lang w:val="en-US"/>
        </w:rPr>
        <w:t xml:space="preserve">Request access </w:t>
      </w:r>
      <w:r w:rsidRPr="00AB14AB">
        <w:rPr>
          <w:rFonts w:ascii="Calibri" w:eastAsia="Times New Roman" w:hAnsi="Calibri" w:cs="serif"/>
          <w:color w:val="000000"/>
          <w:lang w:val="en-US"/>
        </w:rPr>
        <w:t>to personal information (commonly known as a “data subject access request”).</w:t>
      </w:r>
    </w:p>
    <w:p w14:paraId="21ABC885" w14:textId="77777777" w:rsidR="00E824FD" w:rsidRPr="00AB14AB" w:rsidRDefault="00E824FD" w:rsidP="00E824FD">
      <w:pPr>
        <w:widowControl w:val="0"/>
        <w:numPr>
          <w:ilvl w:val="0"/>
          <w:numId w:val="8"/>
        </w:numPr>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b/>
          <w:bCs/>
          <w:color w:val="000000"/>
          <w:lang w:val="en-US"/>
        </w:rPr>
        <w:t xml:space="preserve">Request erasure </w:t>
      </w:r>
      <w:r w:rsidRPr="00AB14AB">
        <w:rPr>
          <w:rFonts w:ascii="Calibri" w:eastAsia="Times New Roman" w:hAnsi="Calibri" w:cs="serif"/>
          <w:color w:val="000000"/>
          <w:lang w:val="en-US"/>
        </w:rPr>
        <w:t xml:space="preserve">of personal information. </w:t>
      </w:r>
    </w:p>
    <w:p w14:paraId="5638522F" w14:textId="77777777" w:rsidR="00E824FD" w:rsidRPr="00AB14AB" w:rsidRDefault="00E824FD" w:rsidP="00E824FD">
      <w:pPr>
        <w:widowControl w:val="0"/>
        <w:numPr>
          <w:ilvl w:val="0"/>
          <w:numId w:val="9"/>
        </w:numPr>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b/>
          <w:bCs/>
          <w:color w:val="000000"/>
          <w:lang w:val="en-US"/>
        </w:rPr>
        <w:t xml:space="preserve">Object to processing </w:t>
      </w:r>
      <w:r w:rsidRPr="00AB14AB">
        <w:rPr>
          <w:rFonts w:ascii="Calibri" w:eastAsia="Times New Roman" w:hAnsi="Calibri" w:cs="serif"/>
          <w:color w:val="000000"/>
          <w:lang w:val="en-US"/>
        </w:rPr>
        <w:t>of personal information where the Company is relying on a legitimate interest (or those of a third party) to lawfully process it.</w:t>
      </w:r>
    </w:p>
    <w:p w14:paraId="49B5B3EF" w14:textId="77777777" w:rsidR="00E824FD" w:rsidRPr="00AB14AB" w:rsidRDefault="00E824FD" w:rsidP="00E824FD">
      <w:pPr>
        <w:widowControl w:val="0"/>
        <w:numPr>
          <w:ilvl w:val="0"/>
          <w:numId w:val="10"/>
        </w:numPr>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b/>
          <w:bCs/>
          <w:color w:val="000000"/>
          <w:lang w:val="en-US"/>
        </w:rPr>
        <w:t xml:space="preserve">Request the restriction of processing </w:t>
      </w:r>
      <w:r w:rsidRPr="00AB14AB">
        <w:rPr>
          <w:rFonts w:ascii="Calibri" w:eastAsia="Times New Roman" w:hAnsi="Calibri" w:cs="serif"/>
          <w:color w:val="000000"/>
          <w:lang w:val="en-US"/>
        </w:rPr>
        <w:t xml:space="preserve">of personal information. </w:t>
      </w:r>
    </w:p>
    <w:p w14:paraId="5AC4B003" w14:textId="77777777" w:rsidR="00E824FD" w:rsidRPr="00AB14AB" w:rsidRDefault="00E824FD" w:rsidP="00E824FD">
      <w:pPr>
        <w:widowControl w:val="0"/>
        <w:numPr>
          <w:ilvl w:val="0"/>
          <w:numId w:val="11"/>
        </w:numPr>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b/>
          <w:bCs/>
          <w:color w:val="000000"/>
          <w:lang w:val="en-US"/>
        </w:rPr>
        <w:t xml:space="preserve">Request the transfer </w:t>
      </w:r>
      <w:r w:rsidRPr="00AB14AB">
        <w:rPr>
          <w:rFonts w:ascii="Calibri" w:eastAsia="Times New Roman" w:hAnsi="Calibri" w:cs="serif"/>
          <w:color w:val="000000"/>
          <w:lang w:val="en-US"/>
        </w:rPr>
        <w:t>of personal information to another party.</w:t>
      </w:r>
    </w:p>
    <w:p w14:paraId="46A15B46" w14:textId="77777777" w:rsidR="00E824FD" w:rsidRPr="00AB14AB" w:rsidRDefault="00E824FD" w:rsidP="00E824FD">
      <w:pPr>
        <w:widowControl w:val="0"/>
        <w:autoSpaceDE w:val="0"/>
        <w:autoSpaceDN w:val="0"/>
        <w:adjustRightInd w:val="0"/>
        <w:spacing w:after="0" w:line="240" w:lineRule="auto"/>
        <w:ind w:left="480"/>
        <w:jc w:val="both"/>
        <w:rPr>
          <w:rFonts w:ascii="Calibri" w:eastAsia="Times New Roman" w:hAnsi="Calibri" w:cs="serif"/>
          <w:color w:val="000000"/>
          <w:lang w:val="en-US"/>
        </w:rPr>
      </w:pPr>
    </w:p>
    <w:p w14:paraId="373773C2"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xml:space="preserve">If an applicant wishes to make a request on any of the above grounds, they should contact [POSITION] in writing. Please note that, depending on the nature of the request, the Company may have good grounds for refusing to comply. If that is the case, the applicant will be given an explanation by the Company. </w:t>
      </w:r>
    </w:p>
    <w:p w14:paraId="65609F75"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46D23E5E" w14:textId="77777777" w:rsidR="00E824FD" w:rsidRPr="00AB14AB" w:rsidRDefault="00E824FD" w:rsidP="00E824FD">
      <w:pPr>
        <w:widowControl w:val="0"/>
        <w:autoSpaceDE w:val="0"/>
        <w:autoSpaceDN w:val="0"/>
        <w:adjustRightInd w:val="0"/>
        <w:spacing w:after="0" w:line="240" w:lineRule="auto"/>
        <w:jc w:val="both"/>
        <w:outlineLvl w:val="0"/>
        <w:rPr>
          <w:rFonts w:ascii="Calibri" w:eastAsia="Times New Roman" w:hAnsi="Calibri" w:cs="serif"/>
          <w:b/>
          <w:bCs/>
          <w:color w:val="000000"/>
          <w:lang w:val="en-US"/>
        </w:rPr>
      </w:pPr>
      <w:r w:rsidRPr="00AB14AB">
        <w:rPr>
          <w:rFonts w:ascii="Calibri" w:eastAsia="Times New Roman" w:hAnsi="Calibri" w:cs="serif"/>
          <w:b/>
          <w:bCs/>
          <w:color w:val="000000"/>
          <w:lang w:val="en-US"/>
        </w:rPr>
        <w:t>Data subject access requests</w:t>
      </w:r>
    </w:p>
    <w:p w14:paraId="0AAF8773"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Applicants will not normally have to pay a fee to access personal information (or to exercise any of the other rights). However, the Company may charge a reasonable fee if the request for access is clearly unfounded or excessive. Alternatively, the Company may refuse to comply with the request in such circumstances.</w:t>
      </w:r>
    </w:p>
    <w:p w14:paraId="0AEBFE74"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p>
    <w:p w14:paraId="1A8D5A0C"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The Company may need to request specific information from the applicant to help confirm their identity and ensure the right to access the information (or to exercise any of the other rights). This is another appropriate security measure to ensure that personal information is not disclosed to any person who has no right to receive it.</w:t>
      </w:r>
    </w:p>
    <w:p w14:paraId="3BC430C9" w14:textId="77777777" w:rsidR="00E824FD" w:rsidRPr="00AB14AB" w:rsidRDefault="00E824FD" w:rsidP="00E824FD">
      <w:pPr>
        <w:spacing w:after="0" w:line="240" w:lineRule="auto"/>
        <w:jc w:val="both"/>
        <w:rPr>
          <w:rFonts w:ascii="Calibri" w:eastAsia="Times New Roman" w:hAnsi="Calibri" w:cs="Times New Roman"/>
          <w:b/>
          <w:lang w:val="en-US"/>
        </w:rPr>
      </w:pPr>
    </w:p>
    <w:p w14:paraId="70907239"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b/>
          <w:bCs/>
          <w:color w:val="000000"/>
          <w:highlight w:val="yellow"/>
          <w:u w:val="single"/>
          <w:lang w:val="en-US"/>
        </w:rPr>
      </w:pPr>
    </w:p>
    <w:p w14:paraId="707AE16D" w14:textId="77777777" w:rsidR="00E824FD" w:rsidRPr="00AB14AB" w:rsidRDefault="00E824FD" w:rsidP="00E824FD">
      <w:pPr>
        <w:widowControl w:val="0"/>
        <w:autoSpaceDE w:val="0"/>
        <w:autoSpaceDN w:val="0"/>
        <w:adjustRightInd w:val="0"/>
        <w:spacing w:after="0" w:line="240" w:lineRule="auto"/>
        <w:jc w:val="both"/>
        <w:outlineLvl w:val="0"/>
        <w:rPr>
          <w:rFonts w:ascii="Calibri" w:eastAsia="Times New Roman" w:hAnsi="Calibri" w:cs="serif"/>
          <w:b/>
          <w:bCs/>
          <w:color w:val="000000"/>
          <w:u w:val="single"/>
          <w:lang w:val="en-US"/>
        </w:rPr>
      </w:pPr>
      <w:r w:rsidRPr="00AB14AB">
        <w:rPr>
          <w:rFonts w:ascii="Calibri" w:eastAsia="Times New Roman" w:hAnsi="Calibri" w:cs="serif"/>
          <w:b/>
          <w:bCs/>
          <w:color w:val="000000"/>
          <w:u w:val="single"/>
          <w:lang w:val="en-US"/>
        </w:rPr>
        <w:lastRenderedPageBreak/>
        <w:t>COMPLIANCE WITH THIS POLICY</w:t>
      </w:r>
    </w:p>
    <w:p w14:paraId="35270204"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b/>
          <w:bCs/>
          <w:color w:val="000000"/>
          <w:lang w:val="en-US"/>
        </w:rPr>
      </w:pPr>
    </w:p>
    <w:p w14:paraId="34853130" w14:textId="77777777" w:rsidR="00E824FD" w:rsidRPr="00AB14AB" w:rsidRDefault="00E824FD" w:rsidP="00E824FD">
      <w:pPr>
        <w:widowControl w:val="0"/>
        <w:autoSpaceDE w:val="0"/>
        <w:autoSpaceDN w:val="0"/>
        <w:adjustRightInd w:val="0"/>
        <w:spacing w:after="0" w:line="240" w:lineRule="auto"/>
        <w:jc w:val="both"/>
        <w:outlineLvl w:val="0"/>
        <w:rPr>
          <w:rFonts w:ascii="Calibri" w:eastAsia="Times New Roman" w:hAnsi="Calibri" w:cs="serif"/>
          <w:color w:val="000000"/>
          <w:lang w:val="en-US"/>
        </w:rPr>
      </w:pPr>
      <w:r w:rsidRPr="00AB14AB">
        <w:rPr>
          <w:rFonts w:ascii="Calibri" w:eastAsia="Times New Roman" w:hAnsi="Calibri" w:cs="serif"/>
          <w:b/>
          <w:bCs/>
          <w:color w:val="000000"/>
          <w:lang w:val="en-US"/>
        </w:rPr>
        <w:t>The Company’s responsibility for compliance</w:t>
      </w:r>
    </w:p>
    <w:p w14:paraId="74BCE131"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 </w:t>
      </w:r>
      <w:r w:rsidRPr="00AB14AB">
        <w:rPr>
          <w:rFonts w:ascii="Calibri" w:eastAsia="Times New Roman" w:hAnsi="Calibri" w:cs="serif"/>
          <w:lang w:val="en-US"/>
        </w:rPr>
        <w:t>The Company has appointed a data protection officer (DPO) with overseeing compliance with this policy. If employees have any questions about this policy or how the Company handles personal information, they should contact the DPO.  Employees have the right to make a complaint at any time to the Information Commissioner’s Office (ICO), the UK supervisory authority for data protection issues.</w:t>
      </w:r>
    </w:p>
    <w:p w14:paraId="0D17FE14"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p>
    <w:p w14:paraId="6C7B00AE" w14:textId="77777777" w:rsidR="00E824FD" w:rsidRPr="00AB14AB" w:rsidRDefault="00E824FD" w:rsidP="00E824FD">
      <w:pPr>
        <w:spacing w:after="0" w:line="240" w:lineRule="auto"/>
        <w:jc w:val="both"/>
        <w:outlineLvl w:val="0"/>
        <w:rPr>
          <w:rFonts w:ascii="Calibri" w:eastAsia="Times New Roman" w:hAnsi="Calibri" w:cs="Times New Roman"/>
          <w:b/>
          <w:lang w:val="en-US"/>
        </w:rPr>
      </w:pPr>
      <w:r w:rsidRPr="00AB14AB">
        <w:rPr>
          <w:rFonts w:ascii="Calibri" w:eastAsia="Times New Roman" w:hAnsi="Calibri" w:cs="Times New Roman"/>
          <w:b/>
          <w:lang w:val="en-US"/>
        </w:rPr>
        <w:t>Data security breaches</w:t>
      </w:r>
    </w:p>
    <w:p w14:paraId="45D614FD" w14:textId="77777777" w:rsidR="00E824FD" w:rsidRPr="00AB14AB" w:rsidRDefault="00E824FD" w:rsidP="00E824FD">
      <w:pPr>
        <w:widowControl w:val="0"/>
        <w:autoSpaceDE w:val="0"/>
        <w:autoSpaceDN w:val="0"/>
        <w:adjustRightInd w:val="0"/>
        <w:spacing w:after="0" w:line="240" w:lineRule="auto"/>
        <w:jc w:val="both"/>
        <w:rPr>
          <w:rFonts w:ascii="Calibri" w:eastAsia="Times New Roman" w:hAnsi="Calibri" w:cs="serif"/>
          <w:color w:val="000000"/>
          <w:lang w:val="en-US"/>
        </w:rPr>
      </w:pPr>
      <w:r w:rsidRPr="00AB14AB">
        <w:rPr>
          <w:rFonts w:ascii="Calibri" w:eastAsia="Times New Roman" w:hAnsi="Calibri" w:cs="serif"/>
          <w:color w:val="000000"/>
          <w:lang w:val="en-US"/>
        </w:rPr>
        <w:t>The Company has put in place procedures to deal with any data security breach and will notify applicants and any applicable regulator of a suspected breach where legally required to do so. Details of these measures are available upon request.</w:t>
      </w:r>
    </w:p>
    <w:p w14:paraId="40EFF877" w14:textId="77777777" w:rsidR="00E824FD" w:rsidRPr="00AB14AB" w:rsidRDefault="00E824FD" w:rsidP="00E824FD">
      <w:pPr>
        <w:spacing w:after="0" w:line="240" w:lineRule="auto"/>
        <w:jc w:val="both"/>
        <w:rPr>
          <w:rFonts w:ascii="Calibri" w:eastAsia="Times New Roman" w:hAnsi="Calibri" w:cs="Times New Roman"/>
          <w:lang w:val="en-US"/>
        </w:rPr>
      </w:pPr>
    </w:p>
    <w:p w14:paraId="511BBCCE" w14:textId="77777777" w:rsidR="00E824FD" w:rsidRPr="00AB14AB" w:rsidRDefault="00E824FD" w:rsidP="00E824FD">
      <w:pPr>
        <w:rPr>
          <w:rFonts w:cs="Arial"/>
          <w:b/>
          <w:color w:val="3389AB"/>
          <w:sz w:val="32"/>
          <w:lang w:val="en-AU"/>
        </w:rPr>
      </w:pPr>
      <w:r w:rsidRPr="00AB14AB">
        <w:rPr>
          <w:rFonts w:cs="Arial"/>
          <w:b/>
          <w:color w:val="3389AB"/>
          <w:sz w:val="32"/>
          <w:lang w:val="en-AU"/>
        </w:rPr>
        <w:br w:type="page"/>
      </w:r>
    </w:p>
    <w:p w14:paraId="302700EE" w14:textId="77777777" w:rsidR="00E824FD" w:rsidRPr="00AB14AB" w:rsidRDefault="00E824FD" w:rsidP="00E824FD">
      <w:pPr>
        <w:rPr>
          <w:rFonts w:cs="Arial"/>
          <w:b/>
          <w:color w:val="3389AB"/>
          <w:sz w:val="32"/>
          <w:lang w:val="en-AU"/>
        </w:rPr>
        <w:sectPr w:rsidR="00E824FD" w:rsidRPr="00AB14AB" w:rsidSect="00E824FD">
          <w:pgSz w:w="11906" w:h="16838"/>
          <w:pgMar w:top="568" w:right="1134" w:bottom="1134" w:left="1701" w:header="709" w:footer="164" w:gutter="0"/>
          <w:cols w:space="708"/>
          <w:docGrid w:linePitch="360"/>
        </w:sectPr>
      </w:pPr>
    </w:p>
    <w:tbl>
      <w:tblPr>
        <w:tblW w:w="15480" w:type="dxa"/>
        <w:tblInd w:w="-342" w:type="dxa"/>
        <w:tblBorders>
          <w:top w:val="nil"/>
          <w:left w:val="nil"/>
          <w:right w:val="nil"/>
        </w:tblBorders>
        <w:tblLayout w:type="fixed"/>
        <w:tblLook w:val="0000" w:firstRow="0" w:lastRow="0" w:firstColumn="0" w:lastColumn="0" w:noHBand="0" w:noVBand="0"/>
      </w:tblPr>
      <w:tblGrid>
        <w:gridCol w:w="2070"/>
        <w:gridCol w:w="900"/>
        <w:gridCol w:w="3420"/>
        <w:gridCol w:w="1890"/>
        <w:gridCol w:w="2700"/>
        <w:gridCol w:w="2790"/>
        <w:gridCol w:w="1710"/>
      </w:tblGrid>
      <w:tr w:rsidR="00E824FD" w:rsidRPr="00AB14AB" w14:paraId="473D432C" w14:textId="77777777" w:rsidTr="00680BB7">
        <w:trPr>
          <w:trHeight w:val="799"/>
        </w:trPr>
        <w:tc>
          <w:tcPr>
            <w:tcW w:w="15480" w:type="dxa"/>
            <w:gridSpan w:val="7"/>
            <w:tcBorders>
              <w:top w:val="single" w:sz="8" w:space="0" w:color="000000"/>
              <w:left w:val="single" w:sz="4" w:space="0" w:color="auto"/>
              <w:bottom w:val="single" w:sz="8" w:space="0" w:color="000000"/>
              <w:right w:val="single" w:sz="8" w:space="0" w:color="000000"/>
            </w:tcBorders>
            <w:shd w:val="clear" w:color="auto" w:fill="A8D08D"/>
            <w:vAlign w:val="center"/>
          </w:tcPr>
          <w:p w14:paraId="635B78FC"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lastRenderedPageBreak/>
              <w:t xml:space="preserve">APPLICANT DATA </w:t>
            </w:r>
          </w:p>
        </w:tc>
      </w:tr>
      <w:tr w:rsidR="00E824FD" w:rsidRPr="00AB14AB" w14:paraId="6FC50A7C" w14:textId="77777777" w:rsidTr="00680BB7">
        <w:trPr>
          <w:trHeight w:val="799"/>
        </w:trPr>
        <w:tc>
          <w:tcPr>
            <w:tcW w:w="2070" w:type="dxa"/>
            <w:tcBorders>
              <w:top w:val="single" w:sz="8" w:space="0" w:color="000000"/>
              <w:left w:val="single" w:sz="4" w:space="0" w:color="auto"/>
              <w:bottom w:val="single" w:sz="8" w:space="0" w:color="000000"/>
              <w:right w:val="single" w:sz="8" w:space="0" w:color="000000"/>
            </w:tcBorders>
            <w:shd w:val="clear" w:color="auto" w:fill="DBECD1"/>
            <w:vAlign w:val="center"/>
          </w:tcPr>
          <w:p w14:paraId="1446D0D8"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Type of personal data</w:t>
            </w:r>
          </w:p>
        </w:tc>
        <w:tc>
          <w:tcPr>
            <w:tcW w:w="900" w:type="dxa"/>
            <w:tcBorders>
              <w:top w:val="single" w:sz="8" w:space="0" w:color="000000"/>
              <w:bottom w:val="single" w:sz="8" w:space="0" w:color="000000"/>
              <w:right w:val="single" w:sz="8" w:space="0" w:color="000000"/>
            </w:tcBorders>
            <w:shd w:val="clear" w:color="auto" w:fill="DBECD1"/>
            <w:vAlign w:val="center"/>
          </w:tcPr>
          <w:p w14:paraId="7BC6AA7C"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Sensitive data?</w:t>
            </w:r>
          </w:p>
        </w:tc>
        <w:tc>
          <w:tcPr>
            <w:tcW w:w="3420" w:type="dxa"/>
            <w:tcBorders>
              <w:top w:val="single" w:sz="8" w:space="0" w:color="000000"/>
              <w:bottom w:val="single" w:sz="8" w:space="0" w:color="000000"/>
              <w:right w:val="single" w:sz="8" w:space="0" w:color="000000"/>
            </w:tcBorders>
            <w:shd w:val="clear" w:color="auto" w:fill="DBECD1"/>
            <w:vAlign w:val="center"/>
          </w:tcPr>
          <w:p w14:paraId="0F8743D9"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Purpose of processing</w:t>
            </w:r>
          </w:p>
        </w:tc>
        <w:tc>
          <w:tcPr>
            <w:tcW w:w="1890" w:type="dxa"/>
            <w:tcBorders>
              <w:top w:val="single" w:sz="8" w:space="0" w:color="000000"/>
              <w:bottom w:val="single" w:sz="8" w:space="0" w:color="000000"/>
              <w:right w:val="single" w:sz="8" w:space="0" w:color="000000"/>
            </w:tcBorders>
            <w:shd w:val="clear" w:color="auto" w:fill="DBECD1"/>
            <w:vAlign w:val="center"/>
          </w:tcPr>
          <w:p w14:paraId="5342856B"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Potential transfer to third parties</w:t>
            </w:r>
          </w:p>
        </w:tc>
        <w:tc>
          <w:tcPr>
            <w:tcW w:w="2700" w:type="dxa"/>
            <w:tcBorders>
              <w:top w:val="single" w:sz="8" w:space="0" w:color="000000"/>
              <w:bottom w:val="single" w:sz="8" w:space="0" w:color="000000"/>
              <w:right w:val="single" w:sz="8" w:space="0" w:color="000000"/>
            </w:tcBorders>
            <w:shd w:val="clear" w:color="auto" w:fill="DBECD1"/>
            <w:vAlign w:val="center"/>
          </w:tcPr>
          <w:p w14:paraId="3A052C71"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 xml:space="preserve">Lawful basis for processing </w:t>
            </w:r>
          </w:p>
        </w:tc>
        <w:tc>
          <w:tcPr>
            <w:tcW w:w="2790" w:type="dxa"/>
            <w:tcBorders>
              <w:top w:val="single" w:sz="8" w:space="0" w:color="000000"/>
              <w:bottom w:val="single" w:sz="8" w:space="0" w:color="000000"/>
              <w:right w:val="single" w:sz="8" w:space="0" w:color="000000"/>
            </w:tcBorders>
            <w:shd w:val="clear" w:color="auto" w:fill="DBECD1"/>
            <w:vAlign w:val="center"/>
          </w:tcPr>
          <w:p w14:paraId="7386CB55"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Grounds for processing sensitive personal data</w:t>
            </w:r>
          </w:p>
        </w:tc>
        <w:tc>
          <w:tcPr>
            <w:tcW w:w="1710" w:type="dxa"/>
            <w:tcBorders>
              <w:top w:val="single" w:sz="8" w:space="0" w:color="000000"/>
              <w:bottom w:val="single" w:sz="8" w:space="0" w:color="000000"/>
              <w:right w:val="single" w:sz="8" w:space="0" w:color="000000"/>
            </w:tcBorders>
            <w:shd w:val="clear" w:color="auto" w:fill="DBECD1"/>
            <w:vAlign w:val="center"/>
          </w:tcPr>
          <w:p w14:paraId="15336562" w14:textId="77777777" w:rsidR="00E824FD" w:rsidRPr="00AB14AB" w:rsidRDefault="00E824FD" w:rsidP="00680BB7">
            <w:pPr>
              <w:autoSpaceDE w:val="0"/>
              <w:autoSpaceDN w:val="0"/>
              <w:adjustRightInd w:val="0"/>
              <w:spacing w:after="200" w:line="276" w:lineRule="auto"/>
              <w:jc w:val="center"/>
              <w:rPr>
                <w:rFonts w:ascii="Calibri" w:hAnsi="Calibri" w:cs="Calibri"/>
                <w:b/>
                <w:bCs/>
                <w:color w:val="000000"/>
                <w:sz w:val="18"/>
                <w:szCs w:val="18"/>
                <w:lang w:eastAsia="en-GB"/>
              </w:rPr>
            </w:pPr>
            <w:r w:rsidRPr="00AB14AB">
              <w:rPr>
                <w:rFonts w:ascii="Calibri" w:hAnsi="Calibri" w:cs="Calibri"/>
                <w:b/>
                <w:bCs/>
                <w:color w:val="000000"/>
                <w:sz w:val="18"/>
                <w:szCs w:val="18"/>
                <w:lang w:eastAsia="en-GB"/>
              </w:rPr>
              <w:t>Retention period</w:t>
            </w:r>
          </w:p>
        </w:tc>
      </w:tr>
      <w:tr w:rsidR="00E824FD" w:rsidRPr="00AB14AB" w14:paraId="78FE2218"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7530257D"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Contact details</w:t>
            </w:r>
          </w:p>
        </w:tc>
        <w:tc>
          <w:tcPr>
            <w:tcW w:w="900" w:type="dxa"/>
            <w:tcBorders>
              <w:bottom w:val="single" w:sz="8" w:space="0" w:color="000000"/>
              <w:right w:val="single" w:sz="8" w:space="0" w:color="000000"/>
            </w:tcBorders>
            <w:vAlign w:val="center"/>
          </w:tcPr>
          <w:p w14:paraId="531B22B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No</w:t>
            </w:r>
          </w:p>
        </w:tc>
        <w:tc>
          <w:tcPr>
            <w:tcW w:w="3420" w:type="dxa"/>
            <w:tcBorders>
              <w:bottom w:val="single" w:sz="8" w:space="0" w:color="000000"/>
              <w:right w:val="single" w:sz="8" w:space="0" w:color="000000"/>
            </w:tcBorders>
            <w:vAlign w:val="center"/>
          </w:tcPr>
          <w:p w14:paraId="530FE5DA"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Contacting applicants</w:t>
            </w:r>
          </w:p>
        </w:tc>
        <w:tc>
          <w:tcPr>
            <w:tcW w:w="1890" w:type="dxa"/>
            <w:tcBorders>
              <w:bottom w:val="single" w:sz="8" w:space="0" w:color="000000"/>
              <w:right w:val="single" w:sz="8" w:space="0" w:color="000000"/>
            </w:tcBorders>
            <w:vAlign w:val="center"/>
          </w:tcPr>
          <w:p w14:paraId="23F1C373"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Professional advisors</w:t>
            </w:r>
          </w:p>
        </w:tc>
        <w:tc>
          <w:tcPr>
            <w:tcW w:w="2700" w:type="dxa"/>
            <w:tcBorders>
              <w:bottom w:val="single" w:sz="8" w:space="0" w:color="000000"/>
              <w:right w:val="single" w:sz="8" w:space="0" w:color="000000"/>
            </w:tcBorders>
            <w:vAlign w:val="center"/>
          </w:tcPr>
          <w:p w14:paraId="0CE3D1C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1AF4295F"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1710" w:type="dxa"/>
            <w:tcBorders>
              <w:bottom w:val="single" w:sz="8" w:space="0" w:color="000000"/>
              <w:right w:val="single" w:sz="8" w:space="0" w:color="000000"/>
            </w:tcBorders>
            <w:vAlign w:val="center"/>
          </w:tcPr>
          <w:p w14:paraId="23E3E613"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1F4968C3"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486EDF97"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Gender</w:t>
            </w:r>
          </w:p>
        </w:tc>
        <w:tc>
          <w:tcPr>
            <w:tcW w:w="900" w:type="dxa"/>
            <w:tcBorders>
              <w:bottom w:val="single" w:sz="8" w:space="0" w:color="000000"/>
              <w:right w:val="single" w:sz="8" w:space="0" w:color="000000"/>
            </w:tcBorders>
            <w:vAlign w:val="center"/>
          </w:tcPr>
          <w:p w14:paraId="60847AD8"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Yes</w:t>
            </w:r>
          </w:p>
        </w:tc>
        <w:tc>
          <w:tcPr>
            <w:tcW w:w="3420" w:type="dxa"/>
            <w:tcBorders>
              <w:bottom w:val="single" w:sz="8" w:space="0" w:color="000000"/>
              <w:right w:val="single" w:sz="8" w:space="0" w:color="000000"/>
            </w:tcBorders>
            <w:vAlign w:val="center"/>
          </w:tcPr>
          <w:p w14:paraId="5569AC4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Equal opportunities monitoring </w:t>
            </w:r>
          </w:p>
        </w:tc>
        <w:tc>
          <w:tcPr>
            <w:tcW w:w="1890" w:type="dxa"/>
            <w:tcBorders>
              <w:bottom w:val="single" w:sz="8" w:space="0" w:color="000000"/>
              <w:right w:val="single" w:sz="8" w:space="0" w:color="000000"/>
            </w:tcBorders>
            <w:vAlign w:val="center"/>
          </w:tcPr>
          <w:p w14:paraId="5201EFC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Professional advisors</w:t>
            </w:r>
          </w:p>
        </w:tc>
        <w:tc>
          <w:tcPr>
            <w:tcW w:w="2700" w:type="dxa"/>
            <w:tcBorders>
              <w:bottom w:val="single" w:sz="8" w:space="0" w:color="000000"/>
              <w:right w:val="single" w:sz="8" w:space="0" w:color="000000"/>
            </w:tcBorders>
            <w:vAlign w:val="center"/>
          </w:tcPr>
          <w:p w14:paraId="2F58D85F"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7E7192F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statistics / conduct of legal claims</w:t>
            </w:r>
          </w:p>
        </w:tc>
        <w:tc>
          <w:tcPr>
            <w:tcW w:w="1710" w:type="dxa"/>
            <w:tcBorders>
              <w:bottom w:val="single" w:sz="8" w:space="0" w:color="000000"/>
              <w:right w:val="single" w:sz="8" w:space="0" w:color="000000"/>
            </w:tcBorders>
            <w:vAlign w:val="center"/>
          </w:tcPr>
          <w:p w14:paraId="66211C5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6081FA55"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5E44BFEE"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Information about ethnicity</w:t>
            </w:r>
          </w:p>
        </w:tc>
        <w:tc>
          <w:tcPr>
            <w:tcW w:w="900" w:type="dxa"/>
            <w:tcBorders>
              <w:bottom w:val="single" w:sz="8" w:space="0" w:color="000000"/>
              <w:right w:val="single" w:sz="8" w:space="0" w:color="000000"/>
            </w:tcBorders>
            <w:vAlign w:val="center"/>
          </w:tcPr>
          <w:p w14:paraId="0E83E50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Yes</w:t>
            </w:r>
          </w:p>
        </w:tc>
        <w:tc>
          <w:tcPr>
            <w:tcW w:w="3420" w:type="dxa"/>
            <w:tcBorders>
              <w:bottom w:val="single" w:sz="8" w:space="0" w:color="000000"/>
              <w:right w:val="single" w:sz="8" w:space="0" w:color="000000"/>
            </w:tcBorders>
            <w:vAlign w:val="center"/>
          </w:tcPr>
          <w:p w14:paraId="74F70A85"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Equal opportunities monitoring </w:t>
            </w:r>
          </w:p>
        </w:tc>
        <w:tc>
          <w:tcPr>
            <w:tcW w:w="1890" w:type="dxa"/>
            <w:tcBorders>
              <w:bottom w:val="single" w:sz="8" w:space="0" w:color="000000"/>
              <w:right w:val="single" w:sz="8" w:space="0" w:color="000000"/>
            </w:tcBorders>
            <w:vAlign w:val="center"/>
          </w:tcPr>
          <w:p w14:paraId="445B989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Professional advisors</w:t>
            </w:r>
          </w:p>
        </w:tc>
        <w:tc>
          <w:tcPr>
            <w:tcW w:w="2700" w:type="dxa"/>
            <w:tcBorders>
              <w:bottom w:val="single" w:sz="8" w:space="0" w:color="000000"/>
              <w:right w:val="single" w:sz="8" w:space="0" w:color="000000"/>
            </w:tcBorders>
            <w:vAlign w:val="center"/>
          </w:tcPr>
          <w:p w14:paraId="08FA821A"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0D5DC25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statistics / conduct of legal claims</w:t>
            </w:r>
          </w:p>
        </w:tc>
        <w:tc>
          <w:tcPr>
            <w:tcW w:w="1710" w:type="dxa"/>
            <w:tcBorders>
              <w:bottom w:val="single" w:sz="8" w:space="0" w:color="000000"/>
              <w:right w:val="single" w:sz="8" w:space="0" w:color="000000"/>
            </w:tcBorders>
            <w:vAlign w:val="center"/>
          </w:tcPr>
          <w:p w14:paraId="60F635F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1786217F"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756D7D65"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Information about religious beliefs</w:t>
            </w:r>
          </w:p>
        </w:tc>
        <w:tc>
          <w:tcPr>
            <w:tcW w:w="900" w:type="dxa"/>
            <w:tcBorders>
              <w:bottom w:val="single" w:sz="8" w:space="0" w:color="000000"/>
              <w:right w:val="single" w:sz="8" w:space="0" w:color="000000"/>
            </w:tcBorders>
            <w:vAlign w:val="center"/>
          </w:tcPr>
          <w:p w14:paraId="047088D3"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Yes</w:t>
            </w:r>
          </w:p>
        </w:tc>
        <w:tc>
          <w:tcPr>
            <w:tcW w:w="3420" w:type="dxa"/>
            <w:tcBorders>
              <w:bottom w:val="single" w:sz="8" w:space="0" w:color="000000"/>
              <w:right w:val="single" w:sz="8" w:space="0" w:color="000000"/>
            </w:tcBorders>
            <w:vAlign w:val="center"/>
          </w:tcPr>
          <w:p w14:paraId="6C3DC75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Equal opportunities monitoring </w:t>
            </w:r>
          </w:p>
        </w:tc>
        <w:tc>
          <w:tcPr>
            <w:tcW w:w="1890" w:type="dxa"/>
            <w:tcBorders>
              <w:bottom w:val="single" w:sz="8" w:space="0" w:color="000000"/>
              <w:right w:val="single" w:sz="8" w:space="0" w:color="000000"/>
            </w:tcBorders>
            <w:vAlign w:val="center"/>
          </w:tcPr>
          <w:p w14:paraId="19143EE7"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Professional advisors</w:t>
            </w:r>
          </w:p>
        </w:tc>
        <w:tc>
          <w:tcPr>
            <w:tcW w:w="2700" w:type="dxa"/>
            <w:tcBorders>
              <w:bottom w:val="single" w:sz="8" w:space="0" w:color="000000"/>
              <w:right w:val="single" w:sz="8" w:space="0" w:color="000000"/>
            </w:tcBorders>
            <w:vAlign w:val="center"/>
          </w:tcPr>
          <w:p w14:paraId="38BDDAB1"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667B89A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statistics / conduct of legal claims</w:t>
            </w:r>
          </w:p>
        </w:tc>
        <w:tc>
          <w:tcPr>
            <w:tcW w:w="1710" w:type="dxa"/>
            <w:tcBorders>
              <w:bottom w:val="single" w:sz="8" w:space="0" w:color="000000"/>
              <w:right w:val="single" w:sz="8" w:space="0" w:color="000000"/>
            </w:tcBorders>
            <w:vAlign w:val="center"/>
          </w:tcPr>
          <w:p w14:paraId="2C5D6F5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198F88EB"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0FBFCF65"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Information about sexual orientation</w:t>
            </w:r>
          </w:p>
        </w:tc>
        <w:tc>
          <w:tcPr>
            <w:tcW w:w="900" w:type="dxa"/>
            <w:tcBorders>
              <w:bottom w:val="single" w:sz="8" w:space="0" w:color="000000"/>
              <w:right w:val="single" w:sz="8" w:space="0" w:color="000000"/>
            </w:tcBorders>
            <w:vAlign w:val="center"/>
          </w:tcPr>
          <w:p w14:paraId="4C840964"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Yes</w:t>
            </w:r>
          </w:p>
        </w:tc>
        <w:tc>
          <w:tcPr>
            <w:tcW w:w="3420" w:type="dxa"/>
            <w:tcBorders>
              <w:bottom w:val="single" w:sz="8" w:space="0" w:color="000000"/>
              <w:right w:val="single" w:sz="8" w:space="0" w:color="000000"/>
            </w:tcBorders>
            <w:vAlign w:val="center"/>
          </w:tcPr>
          <w:p w14:paraId="006927E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Equal opportunities monitoring </w:t>
            </w:r>
          </w:p>
        </w:tc>
        <w:tc>
          <w:tcPr>
            <w:tcW w:w="1890" w:type="dxa"/>
            <w:tcBorders>
              <w:bottom w:val="single" w:sz="8" w:space="0" w:color="000000"/>
              <w:right w:val="single" w:sz="8" w:space="0" w:color="000000"/>
            </w:tcBorders>
            <w:vAlign w:val="center"/>
          </w:tcPr>
          <w:p w14:paraId="5D2CBC4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Professional advisors</w:t>
            </w:r>
          </w:p>
        </w:tc>
        <w:tc>
          <w:tcPr>
            <w:tcW w:w="2700" w:type="dxa"/>
            <w:tcBorders>
              <w:bottom w:val="single" w:sz="8" w:space="0" w:color="000000"/>
              <w:right w:val="single" w:sz="8" w:space="0" w:color="000000"/>
            </w:tcBorders>
            <w:vAlign w:val="center"/>
          </w:tcPr>
          <w:p w14:paraId="1840F20D"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0E92AC4D"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statistics / conduct of legal claims</w:t>
            </w:r>
          </w:p>
        </w:tc>
        <w:tc>
          <w:tcPr>
            <w:tcW w:w="1710" w:type="dxa"/>
            <w:tcBorders>
              <w:bottom w:val="single" w:sz="8" w:space="0" w:color="000000"/>
              <w:right w:val="single" w:sz="8" w:space="0" w:color="000000"/>
            </w:tcBorders>
            <w:vAlign w:val="center"/>
          </w:tcPr>
          <w:p w14:paraId="2BE8B5B4"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1C2B839F" w14:textId="77777777" w:rsidTr="00680BB7">
        <w:tblPrEx>
          <w:tblBorders>
            <w:top w:val="none" w:sz="0" w:space="0" w:color="auto"/>
          </w:tblBorders>
        </w:tblPrEx>
        <w:tc>
          <w:tcPr>
            <w:tcW w:w="2070" w:type="dxa"/>
            <w:tcBorders>
              <w:top w:val="single" w:sz="8" w:space="0" w:color="000000"/>
              <w:left w:val="single" w:sz="4" w:space="0" w:color="auto"/>
              <w:bottom w:val="single" w:sz="4" w:space="0" w:color="auto"/>
              <w:right w:val="single" w:sz="8" w:space="0" w:color="000000"/>
            </w:tcBorders>
            <w:vAlign w:val="center"/>
          </w:tcPr>
          <w:p w14:paraId="328460A3"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CV</w:t>
            </w:r>
          </w:p>
        </w:tc>
        <w:tc>
          <w:tcPr>
            <w:tcW w:w="900" w:type="dxa"/>
            <w:tcBorders>
              <w:bottom w:val="single" w:sz="4" w:space="0" w:color="auto"/>
              <w:right w:val="single" w:sz="8" w:space="0" w:color="000000"/>
            </w:tcBorders>
            <w:vAlign w:val="center"/>
          </w:tcPr>
          <w:p w14:paraId="1B7C08B6"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No</w:t>
            </w:r>
          </w:p>
        </w:tc>
        <w:tc>
          <w:tcPr>
            <w:tcW w:w="3420" w:type="dxa"/>
            <w:tcBorders>
              <w:bottom w:val="single" w:sz="4" w:space="0" w:color="auto"/>
              <w:right w:val="single" w:sz="8" w:space="0" w:color="000000"/>
            </w:tcBorders>
            <w:vAlign w:val="center"/>
          </w:tcPr>
          <w:p w14:paraId="0066EA24"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Making recruitment decisions / ascertaining ability to work</w:t>
            </w:r>
          </w:p>
        </w:tc>
        <w:tc>
          <w:tcPr>
            <w:tcW w:w="1890" w:type="dxa"/>
            <w:tcBorders>
              <w:bottom w:val="single" w:sz="4" w:space="0" w:color="auto"/>
              <w:right w:val="single" w:sz="8" w:space="0" w:color="000000"/>
            </w:tcBorders>
            <w:vAlign w:val="center"/>
          </w:tcPr>
          <w:p w14:paraId="07310727"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2700" w:type="dxa"/>
            <w:tcBorders>
              <w:bottom w:val="single" w:sz="4" w:space="0" w:color="auto"/>
              <w:right w:val="single" w:sz="8" w:space="0" w:color="000000"/>
            </w:tcBorders>
            <w:vAlign w:val="center"/>
          </w:tcPr>
          <w:p w14:paraId="7EEC0CC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4" w:space="0" w:color="auto"/>
              <w:right w:val="single" w:sz="8" w:space="0" w:color="000000"/>
            </w:tcBorders>
            <w:vAlign w:val="center"/>
          </w:tcPr>
          <w:p w14:paraId="40B2291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1710" w:type="dxa"/>
            <w:tcBorders>
              <w:bottom w:val="single" w:sz="4" w:space="0" w:color="auto"/>
              <w:right w:val="single" w:sz="8" w:space="0" w:color="000000"/>
            </w:tcBorders>
            <w:vAlign w:val="center"/>
          </w:tcPr>
          <w:p w14:paraId="0DDE172B"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623A9CA5" w14:textId="77777777" w:rsidTr="00680BB7">
        <w:tblPrEx>
          <w:tblBorders>
            <w:top w:val="none" w:sz="0" w:space="0" w:color="auto"/>
          </w:tblBorders>
        </w:tblPrEx>
        <w:trPr>
          <w:trHeight w:val="268"/>
        </w:trPr>
        <w:tc>
          <w:tcPr>
            <w:tcW w:w="2070" w:type="dxa"/>
            <w:tcBorders>
              <w:top w:val="single" w:sz="4" w:space="0" w:color="auto"/>
              <w:left w:val="single" w:sz="4" w:space="0" w:color="auto"/>
              <w:bottom w:val="single" w:sz="8" w:space="0" w:color="000000"/>
              <w:right w:val="single" w:sz="8" w:space="0" w:color="000000"/>
            </w:tcBorders>
            <w:vAlign w:val="center"/>
          </w:tcPr>
          <w:p w14:paraId="4C652AAD"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Right to work documents</w:t>
            </w:r>
          </w:p>
        </w:tc>
        <w:tc>
          <w:tcPr>
            <w:tcW w:w="900" w:type="dxa"/>
            <w:tcBorders>
              <w:top w:val="single" w:sz="4" w:space="0" w:color="auto"/>
              <w:bottom w:val="single" w:sz="8" w:space="0" w:color="000000"/>
              <w:right w:val="single" w:sz="8" w:space="0" w:color="000000"/>
            </w:tcBorders>
            <w:vAlign w:val="center"/>
          </w:tcPr>
          <w:p w14:paraId="6023065D"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Yes </w:t>
            </w:r>
          </w:p>
        </w:tc>
        <w:tc>
          <w:tcPr>
            <w:tcW w:w="3420" w:type="dxa"/>
            <w:tcBorders>
              <w:top w:val="single" w:sz="4" w:space="0" w:color="auto"/>
              <w:bottom w:val="single" w:sz="8" w:space="0" w:color="000000"/>
              <w:right w:val="single" w:sz="8" w:space="0" w:color="000000"/>
            </w:tcBorders>
            <w:vAlign w:val="center"/>
          </w:tcPr>
          <w:p w14:paraId="3AB7FD9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Checking right to work in the UK </w:t>
            </w:r>
          </w:p>
        </w:tc>
        <w:tc>
          <w:tcPr>
            <w:tcW w:w="1890" w:type="dxa"/>
            <w:tcBorders>
              <w:top w:val="single" w:sz="4" w:space="0" w:color="auto"/>
              <w:bottom w:val="single" w:sz="8" w:space="0" w:color="000000"/>
              <w:right w:val="single" w:sz="8" w:space="0" w:color="000000"/>
            </w:tcBorders>
            <w:vAlign w:val="center"/>
          </w:tcPr>
          <w:p w14:paraId="3F897C73"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Professional advisors </w:t>
            </w:r>
          </w:p>
        </w:tc>
        <w:tc>
          <w:tcPr>
            <w:tcW w:w="2700" w:type="dxa"/>
            <w:tcBorders>
              <w:top w:val="single" w:sz="4" w:space="0" w:color="auto"/>
              <w:bottom w:val="single" w:sz="8" w:space="0" w:color="000000"/>
              <w:right w:val="single" w:sz="8" w:space="0" w:color="000000"/>
            </w:tcBorders>
            <w:vAlign w:val="center"/>
          </w:tcPr>
          <w:p w14:paraId="187830C1"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top w:val="single" w:sz="4" w:space="0" w:color="auto"/>
              <w:bottom w:val="single" w:sz="8" w:space="0" w:color="000000"/>
              <w:right w:val="single" w:sz="8" w:space="0" w:color="000000"/>
            </w:tcBorders>
            <w:vAlign w:val="center"/>
          </w:tcPr>
          <w:p w14:paraId="55F321F2"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conduct of legal claims</w:t>
            </w:r>
          </w:p>
        </w:tc>
        <w:tc>
          <w:tcPr>
            <w:tcW w:w="1710" w:type="dxa"/>
            <w:tcBorders>
              <w:top w:val="single" w:sz="4" w:space="0" w:color="auto"/>
              <w:bottom w:val="single" w:sz="8" w:space="0" w:color="000000"/>
              <w:right w:val="single" w:sz="8" w:space="0" w:color="000000"/>
            </w:tcBorders>
            <w:vAlign w:val="center"/>
          </w:tcPr>
          <w:p w14:paraId="6B6A25D7"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32D912EF"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7D984360"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Qualifications</w:t>
            </w:r>
          </w:p>
        </w:tc>
        <w:tc>
          <w:tcPr>
            <w:tcW w:w="900" w:type="dxa"/>
            <w:tcBorders>
              <w:bottom w:val="single" w:sz="8" w:space="0" w:color="000000"/>
              <w:right w:val="single" w:sz="8" w:space="0" w:color="000000"/>
            </w:tcBorders>
            <w:vAlign w:val="center"/>
          </w:tcPr>
          <w:p w14:paraId="555DA71F"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No</w:t>
            </w:r>
          </w:p>
        </w:tc>
        <w:tc>
          <w:tcPr>
            <w:tcW w:w="3420" w:type="dxa"/>
            <w:tcBorders>
              <w:bottom w:val="single" w:sz="8" w:space="0" w:color="000000"/>
              <w:right w:val="single" w:sz="8" w:space="0" w:color="000000"/>
            </w:tcBorders>
            <w:vAlign w:val="center"/>
          </w:tcPr>
          <w:p w14:paraId="04E123D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Making recruitment decisions / ascertaining ability to work</w:t>
            </w:r>
          </w:p>
        </w:tc>
        <w:tc>
          <w:tcPr>
            <w:tcW w:w="1890" w:type="dxa"/>
            <w:tcBorders>
              <w:bottom w:val="single" w:sz="8" w:space="0" w:color="000000"/>
              <w:right w:val="single" w:sz="8" w:space="0" w:color="000000"/>
            </w:tcBorders>
            <w:vAlign w:val="center"/>
          </w:tcPr>
          <w:p w14:paraId="4C2783FB"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Professional advisors</w:t>
            </w:r>
          </w:p>
        </w:tc>
        <w:tc>
          <w:tcPr>
            <w:tcW w:w="2700" w:type="dxa"/>
            <w:tcBorders>
              <w:bottom w:val="single" w:sz="8" w:space="0" w:color="000000"/>
              <w:right w:val="single" w:sz="8" w:space="0" w:color="000000"/>
            </w:tcBorders>
            <w:vAlign w:val="center"/>
          </w:tcPr>
          <w:p w14:paraId="22FF0E7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2DDB0D14"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1710" w:type="dxa"/>
            <w:tcBorders>
              <w:bottom w:val="single" w:sz="8" w:space="0" w:color="000000"/>
              <w:right w:val="single" w:sz="8" w:space="0" w:color="000000"/>
            </w:tcBorders>
            <w:vAlign w:val="center"/>
          </w:tcPr>
          <w:p w14:paraId="479178E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5CDF541F"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4CB837CF"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Employment history</w:t>
            </w:r>
          </w:p>
        </w:tc>
        <w:tc>
          <w:tcPr>
            <w:tcW w:w="900" w:type="dxa"/>
            <w:tcBorders>
              <w:bottom w:val="single" w:sz="8" w:space="0" w:color="000000"/>
              <w:right w:val="single" w:sz="8" w:space="0" w:color="000000"/>
            </w:tcBorders>
            <w:vAlign w:val="center"/>
          </w:tcPr>
          <w:p w14:paraId="5241E9FF"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No</w:t>
            </w:r>
          </w:p>
        </w:tc>
        <w:tc>
          <w:tcPr>
            <w:tcW w:w="3420" w:type="dxa"/>
            <w:tcBorders>
              <w:bottom w:val="single" w:sz="8" w:space="0" w:color="000000"/>
              <w:right w:val="single" w:sz="8" w:space="0" w:color="000000"/>
            </w:tcBorders>
            <w:vAlign w:val="center"/>
          </w:tcPr>
          <w:p w14:paraId="45BAC7C2"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Making recruitment decisions / ascertaining ability to work</w:t>
            </w:r>
          </w:p>
        </w:tc>
        <w:tc>
          <w:tcPr>
            <w:tcW w:w="1890" w:type="dxa"/>
            <w:tcBorders>
              <w:bottom w:val="single" w:sz="8" w:space="0" w:color="000000"/>
              <w:right w:val="single" w:sz="8" w:space="0" w:color="000000"/>
            </w:tcBorders>
            <w:vAlign w:val="center"/>
          </w:tcPr>
          <w:p w14:paraId="298E3B70"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2700" w:type="dxa"/>
            <w:tcBorders>
              <w:bottom w:val="single" w:sz="8" w:space="0" w:color="000000"/>
              <w:right w:val="single" w:sz="8" w:space="0" w:color="000000"/>
            </w:tcBorders>
            <w:vAlign w:val="center"/>
          </w:tcPr>
          <w:p w14:paraId="508B08F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00E48876"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w:t>
            </w:r>
          </w:p>
        </w:tc>
        <w:tc>
          <w:tcPr>
            <w:tcW w:w="1710" w:type="dxa"/>
            <w:tcBorders>
              <w:bottom w:val="single" w:sz="8" w:space="0" w:color="000000"/>
              <w:right w:val="single" w:sz="8" w:space="0" w:color="000000"/>
            </w:tcBorders>
            <w:vAlign w:val="center"/>
          </w:tcPr>
          <w:p w14:paraId="5A53D355"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08C0D6D7"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7EAB124F"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Information about disability</w:t>
            </w:r>
          </w:p>
        </w:tc>
        <w:tc>
          <w:tcPr>
            <w:tcW w:w="900" w:type="dxa"/>
            <w:tcBorders>
              <w:bottom w:val="single" w:sz="8" w:space="0" w:color="000000"/>
              <w:right w:val="single" w:sz="8" w:space="0" w:color="000000"/>
            </w:tcBorders>
            <w:vAlign w:val="center"/>
          </w:tcPr>
          <w:p w14:paraId="03EA53D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Yes</w:t>
            </w:r>
          </w:p>
        </w:tc>
        <w:tc>
          <w:tcPr>
            <w:tcW w:w="3420" w:type="dxa"/>
            <w:tcBorders>
              <w:bottom w:val="single" w:sz="8" w:space="0" w:color="000000"/>
              <w:right w:val="single" w:sz="8" w:space="0" w:color="000000"/>
            </w:tcBorders>
            <w:vAlign w:val="center"/>
          </w:tcPr>
          <w:p w14:paraId="4FA0262B"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Health and safety requirements / ascertaining fitness to work</w:t>
            </w:r>
          </w:p>
        </w:tc>
        <w:tc>
          <w:tcPr>
            <w:tcW w:w="1890" w:type="dxa"/>
            <w:tcBorders>
              <w:bottom w:val="single" w:sz="8" w:space="0" w:color="000000"/>
              <w:right w:val="single" w:sz="8" w:space="0" w:color="000000"/>
            </w:tcBorders>
            <w:vAlign w:val="center"/>
          </w:tcPr>
          <w:p w14:paraId="4DE51424"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Professional advisors</w:t>
            </w:r>
          </w:p>
        </w:tc>
        <w:tc>
          <w:tcPr>
            <w:tcW w:w="2700" w:type="dxa"/>
            <w:tcBorders>
              <w:bottom w:val="single" w:sz="8" w:space="0" w:color="000000"/>
              <w:right w:val="single" w:sz="8" w:space="0" w:color="000000"/>
            </w:tcBorders>
            <w:vAlign w:val="center"/>
          </w:tcPr>
          <w:p w14:paraId="68427EB8"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5A044A4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statistics / conduct of legal claims</w:t>
            </w:r>
          </w:p>
        </w:tc>
        <w:tc>
          <w:tcPr>
            <w:tcW w:w="1710" w:type="dxa"/>
            <w:tcBorders>
              <w:bottom w:val="single" w:sz="8" w:space="0" w:color="000000"/>
              <w:right w:val="single" w:sz="8" w:space="0" w:color="000000"/>
            </w:tcBorders>
            <w:vAlign w:val="center"/>
          </w:tcPr>
          <w:p w14:paraId="71A2AC81"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318EB68D"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68FEA0E3"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Professional memberships</w:t>
            </w:r>
          </w:p>
        </w:tc>
        <w:tc>
          <w:tcPr>
            <w:tcW w:w="900" w:type="dxa"/>
            <w:tcBorders>
              <w:bottom w:val="single" w:sz="8" w:space="0" w:color="000000"/>
              <w:right w:val="single" w:sz="8" w:space="0" w:color="000000"/>
            </w:tcBorders>
            <w:vAlign w:val="center"/>
          </w:tcPr>
          <w:p w14:paraId="0B6F19C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No</w:t>
            </w:r>
          </w:p>
        </w:tc>
        <w:tc>
          <w:tcPr>
            <w:tcW w:w="3420" w:type="dxa"/>
            <w:tcBorders>
              <w:bottom w:val="single" w:sz="8" w:space="0" w:color="000000"/>
              <w:right w:val="single" w:sz="8" w:space="0" w:color="000000"/>
            </w:tcBorders>
            <w:vAlign w:val="center"/>
          </w:tcPr>
          <w:p w14:paraId="403DB88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xml:space="preserve"> Education, </w:t>
            </w:r>
            <w:proofErr w:type="gramStart"/>
            <w:r w:rsidRPr="00AB14AB">
              <w:rPr>
                <w:rFonts w:ascii="Calibri" w:hAnsi="Calibri" w:cs="Calibri"/>
                <w:color w:val="000000"/>
                <w:sz w:val="18"/>
                <w:szCs w:val="18"/>
                <w:lang w:eastAsia="en-GB"/>
              </w:rPr>
              <w:t>training</w:t>
            </w:r>
            <w:proofErr w:type="gramEnd"/>
            <w:r w:rsidRPr="00AB14AB">
              <w:rPr>
                <w:rFonts w:ascii="Calibri" w:hAnsi="Calibri" w:cs="Calibri"/>
                <w:color w:val="000000"/>
                <w:sz w:val="18"/>
                <w:szCs w:val="18"/>
                <w:lang w:eastAsia="en-GB"/>
              </w:rPr>
              <w:t xml:space="preserve"> and development requirements</w:t>
            </w:r>
          </w:p>
        </w:tc>
        <w:tc>
          <w:tcPr>
            <w:tcW w:w="1890" w:type="dxa"/>
            <w:tcBorders>
              <w:bottom w:val="single" w:sz="8" w:space="0" w:color="000000"/>
              <w:right w:val="single" w:sz="8" w:space="0" w:color="000000"/>
            </w:tcBorders>
            <w:vAlign w:val="center"/>
          </w:tcPr>
          <w:p w14:paraId="1ADD9BF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N/A </w:t>
            </w:r>
          </w:p>
        </w:tc>
        <w:tc>
          <w:tcPr>
            <w:tcW w:w="2700" w:type="dxa"/>
            <w:tcBorders>
              <w:bottom w:val="single" w:sz="8" w:space="0" w:color="000000"/>
              <w:right w:val="single" w:sz="8" w:space="0" w:color="000000"/>
            </w:tcBorders>
            <w:vAlign w:val="center"/>
          </w:tcPr>
          <w:p w14:paraId="42B61D8A"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5F980ECC"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N/A</w:t>
            </w:r>
          </w:p>
        </w:tc>
        <w:tc>
          <w:tcPr>
            <w:tcW w:w="1710" w:type="dxa"/>
            <w:tcBorders>
              <w:bottom w:val="single" w:sz="8" w:space="0" w:color="000000"/>
              <w:right w:val="single" w:sz="8" w:space="0" w:color="000000"/>
            </w:tcBorders>
            <w:vAlign w:val="center"/>
          </w:tcPr>
          <w:p w14:paraId="677C95E1"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r w:rsidR="00E824FD" w:rsidRPr="00AB14AB" w14:paraId="0C2B4688" w14:textId="77777777" w:rsidTr="00680BB7">
        <w:tblPrEx>
          <w:tblBorders>
            <w:top w:val="none" w:sz="0" w:space="0" w:color="auto"/>
          </w:tblBorders>
        </w:tblPrEx>
        <w:tc>
          <w:tcPr>
            <w:tcW w:w="2070" w:type="dxa"/>
            <w:tcBorders>
              <w:top w:val="single" w:sz="8" w:space="0" w:color="000000"/>
              <w:left w:val="single" w:sz="4" w:space="0" w:color="auto"/>
              <w:bottom w:val="single" w:sz="8" w:space="0" w:color="000000"/>
              <w:right w:val="single" w:sz="8" w:space="0" w:color="000000"/>
            </w:tcBorders>
            <w:vAlign w:val="center"/>
          </w:tcPr>
          <w:p w14:paraId="4AFE0295" w14:textId="77777777" w:rsidR="00E824FD" w:rsidRPr="00AB14AB" w:rsidRDefault="00E824FD" w:rsidP="00680BB7">
            <w:pPr>
              <w:autoSpaceDE w:val="0"/>
              <w:autoSpaceDN w:val="0"/>
              <w:adjustRightInd w:val="0"/>
              <w:spacing w:after="200" w:line="240" w:lineRule="auto"/>
              <w:rPr>
                <w:rFonts w:ascii="Calibri" w:hAnsi="Calibri" w:cs="Calibri"/>
                <w:color w:val="000000"/>
                <w:sz w:val="18"/>
                <w:szCs w:val="18"/>
                <w:lang w:eastAsia="en-GB"/>
              </w:rPr>
            </w:pPr>
            <w:r w:rsidRPr="00AB14AB">
              <w:rPr>
                <w:rFonts w:ascii="Calibri" w:hAnsi="Calibri" w:cs="Calibri"/>
                <w:color w:val="000000"/>
                <w:sz w:val="18"/>
                <w:szCs w:val="18"/>
                <w:lang w:eastAsia="en-GB"/>
              </w:rPr>
              <w:t>Criminal convictions and offences</w:t>
            </w:r>
          </w:p>
        </w:tc>
        <w:tc>
          <w:tcPr>
            <w:tcW w:w="900" w:type="dxa"/>
            <w:tcBorders>
              <w:bottom w:val="single" w:sz="8" w:space="0" w:color="000000"/>
              <w:right w:val="single" w:sz="8" w:space="0" w:color="000000"/>
            </w:tcBorders>
            <w:vAlign w:val="center"/>
          </w:tcPr>
          <w:p w14:paraId="0DB5F349"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Yes</w:t>
            </w:r>
          </w:p>
        </w:tc>
        <w:tc>
          <w:tcPr>
            <w:tcW w:w="3420" w:type="dxa"/>
            <w:tcBorders>
              <w:bottom w:val="single" w:sz="8" w:space="0" w:color="000000"/>
              <w:right w:val="single" w:sz="8" w:space="0" w:color="000000"/>
            </w:tcBorders>
            <w:vAlign w:val="center"/>
          </w:tcPr>
          <w:p w14:paraId="1842F33D"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xml:space="preserve">Making decisions about recruitment </w:t>
            </w:r>
          </w:p>
        </w:tc>
        <w:tc>
          <w:tcPr>
            <w:tcW w:w="1890" w:type="dxa"/>
            <w:tcBorders>
              <w:bottom w:val="single" w:sz="8" w:space="0" w:color="000000"/>
              <w:right w:val="single" w:sz="8" w:space="0" w:color="000000"/>
            </w:tcBorders>
            <w:vAlign w:val="center"/>
          </w:tcPr>
          <w:p w14:paraId="5B7A3C15"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 Professional advisors</w:t>
            </w:r>
          </w:p>
        </w:tc>
        <w:tc>
          <w:tcPr>
            <w:tcW w:w="2700" w:type="dxa"/>
            <w:tcBorders>
              <w:bottom w:val="single" w:sz="8" w:space="0" w:color="000000"/>
              <w:right w:val="single" w:sz="8" w:space="0" w:color="000000"/>
            </w:tcBorders>
            <w:vAlign w:val="center"/>
          </w:tcPr>
          <w:p w14:paraId="7B5FD20F"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Legal obligation / Legitimate interests</w:t>
            </w:r>
          </w:p>
        </w:tc>
        <w:tc>
          <w:tcPr>
            <w:tcW w:w="2790" w:type="dxa"/>
            <w:tcBorders>
              <w:bottom w:val="single" w:sz="8" w:space="0" w:color="000000"/>
              <w:right w:val="single" w:sz="8" w:space="0" w:color="000000"/>
            </w:tcBorders>
            <w:vAlign w:val="center"/>
          </w:tcPr>
          <w:p w14:paraId="260A80E3"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employment purposes / conduct of legal claims </w:t>
            </w:r>
          </w:p>
        </w:tc>
        <w:tc>
          <w:tcPr>
            <w:tcW w:w="1710" w:type="dxa"/>
            <w:tcBorders>
              <w:bottom w:val="single" w:sz="8" w:space="0" w:color="000000"/>
              <w:right w:val="single" w:sz="8" w:space="0" w:color="000000"/>
            </w:tcBorders>
            <w:vAlign w:val="center"/>
          </w:tcPr>
          <w:p w14:paraId="7BFF4C9E" w14:textId="77777777" w:rsidR="00E824FD" w:rsidRPr="00AB14AB" w:rsidRDefault="00E824FD" w:rsidP="00680BB7">
            <w:pPr>
              <w:autoSpaceDE w:val="0"/>
              <w:autoSpaceDN w:val="0"/>
              <w:adjustRightInd w:val="0"/>
              <w:spacing w:after="200" w:line="240" w:lineRule="auto"/>
              <w:jc w:val="center"/>
              <w:rPr>
                <w:rFonts w:ascii="Calibri" w:hAnsi="Calibri" w:cs="Calibri"/>
                <w:color w:val="000000"/>
                <w:sz w:val="18"/>
                <w:szCs w:val="18"/>
                <w:lang w:eastAsia="en-GB"/>
              </w:rPr>
            </w:pPr>
            <w:r w:rsidRPr="00AB14AB">
              <w:rPr>
                <w:rFonts w:ascii="Calibri" w:hAnsi="Calibri" w:cs="Calibri"/>
                <w:color w:val="000000"/>
                <w:sz w:val="18"/>
                <w:szCs w:val="18"/>
                <w:lang w:eastAsia="en-GB"/>
              </w:rPr>
              <w:t>6 months post-application</w:t>
            </w:r>
          </w:p>
        </w:tc>
      </w:tr>
    </w:tbl>
    <w:p w14:paraId="733D9011" w14:textId="77777777" w:rsidR="00E824FD" w:rsidRPr="00AB14AB" w:rsidRDefault="00E824FD" w:rsidP="00E824FD">
      <w:pPr>
        <w:pBdr>
          <w:bottom w:val="single" w:sz="4" w:space="1" w:color="auto"/>
        </w:pBdr>
        <w:spacing w:after="200" w:line="276" w:lineRule="auto"/>
        <w:ind w:right="96"/>
        <w:rPr>
          <w:rFonts w:cs="Arial"/>
          <w:b/>
          <w:color w:val="00728F"/>
          <w:sz w:val="32"/>
          <w:lang w:val="en-AU"/>
        </w:rPr>
        <w:sectPr w:rsidR="00E824FD" w:rsidRPr="00AB14AB" w:rsidSect="00E824FD">
          <w:pgSz w:w="16838" w:h="11906" w:orient="landscape"/>
          <w:pgMar w:top="1134" w:right="1134" w:bottom="851" w:left="851" w:header="709" w:footer="164" w:gutter="0"/>
          <w:cols w:space="708"/>
          <w:docGrid w:linePitch="360"/>
        </w:sectPr>
      </w:pPr>
    </w:p>
    <w:p w14:paraId="640AB7E0" w14:textId="77777777" w:rsidR="001337DB" w:rsidRDefault="00E824FD"/>
    <w:sectPr w:rsidR="00133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3EBC5"/>
    <w:multiLevelType w:val="singleLevel"/>
    <w:tmpl w:val="5DEBF60E"/>
    <w:lvl w:ilvl="0">
      <w:numFmt w:val="decimal"/>
      <w:lvlText w:val="•"/>
      <w:lvlJc w:val="left"/>
    </w:lvl>
  </w:abstractNum>
  <w:abstractNum w:abstractNumId="1" w15:restartNumberingAfterBreak="0">
    <w:nsid w:val="DCDC739D"/>
    <w:multiLevelType w:val="singleLevel"/>
    <w:tmpl w:val="8445D9E5"/>
    <w:lvl w:ilvl="0">
      <w:numFmt w:val="decimal"/>
      <w:lvlText w:val="•"/>
      <w:lvlJc w:val="left"/>
    </w:lvl>
  </w:abstractNum>
  <w:abstractNum w:abstractNumId="2" w15:restartNumberingAfterBreak="0">
    <w:nsid w:val="100C4602"/>
    <w:multiLevelType w:val="hybridMultilevel"/>
    <w:tmpl w:val="F8822F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4B6A1B"/>
    <w:multiLevelType w:val="hybridMultilevel"/>
    <w:tmpl w:val="9B6E3600"/>
    <w:lvl w:ilvl="0" w:tplc="08090001">
      <w:start w:val="1"/>
      <w:numFmt w:val="bullet"/>
      <w:lvlText w:val=""/>
      <w:lvlJc w:val="left"/>
      <w:pPr>
        <w:ind w:left="75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15EEE"/>
    <w:multiLevelType w:val="hybridMultilevel"/>
    <w:tmpl w:val="2002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2636F"/>
    <w:multiLevelType w:val="singleLevel"/>
    <w:tmpl w:val="BF791B8F"/>
    <w:lvl w:ilvl="0">
      <w:numFmt w:val="decimal"/>
      <w:lvlText w:val="•"/>
      <w:lvlJc w:val="left"/>
    </w:lvl>
  </w:abstractNum>
  <w:abstractNum w:abstractNumId="6" w15:restartNumberingAfterBreak="0">
    <w:nsid w:val="4BFF4C34"/>
    <w:multiLevelType w:val="hybridMultilevel"/>
    <w:tmpl w:val="3C70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445D3"/>
    <w:multiLevelType w:val="hybridMultilevel"/>
    <w:tmpl w:val="07D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612E8"/>
    <w:multiLevelType w:val="singleLevel"/>
    <w:tmpl w:val="6DE04DF4"/>
    <w:lvl w:ilvl="0">
      <w:numFmt w:val="decimal"/>
      <w:lvlText w:val="•"/>
      <w:lvlJc w:val="left"/>
    </w:lvl>
  </w:abstractNum>
  <w:abstractNum w:abstractNumId="9" w15:restartNumberingAfterBreak="0">
    <w:nsid w:val="6A69A920"/>
    <w:multiLevelType w:val="singleLevel"/>
    <w:tmpl w:val="64FA6136"/>
    <w:lvl w:ilvl="0">
      <w:numFmt w:val="decimal"/>
      <w:lvlText w:val="•"/>
      <w:lvlJc w:val="left"/>
    </w:lvl>
  </w:abstractNum>
  <w:abstractNum w:abstractNumId="10" w15:restartNumberingAfterBreak="0">
    <w:nsid w:val="74D5653F"/>
    <w:multiLevelType w:val="hybridMultilevel"/>
    <w:tmpl w:val="F43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4"/>
  </w:num>
  <w:num w:numId="6">
    <w:abstractNumId w:val="6"/>
  </w:num>
  <w:num w:numId="7">
    <w:abstractNumId w:val="1"/>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FD"/>
    <w:rsid w:val="001361BF"/>
    <w:rsid w:val="00232ADA"/>
    <w:rsid w:val="00797BFE"/>
    <w:rsid w:val="00E8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6AF4"/>
  <w15:chartTrackingRefBased/>
  <w15:docId w15:val="{BCC894A4-1971-49D7-805D-CDE0C46D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2276</Words>
  <Characters>12979</Characters>
  <Application>Microsoft Office Word</Application>
  <DocSecurity>0</DocSecurity>
  <Lines>108</Lines>
  <Paragraphs>30</Paragraphs>
  <ScaleCrop>false</ScaleCrop>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Stewart</dc:creator>
  <cp:keywords/>
  <dc:description/>
  <cp:lastModifiedBy>Elizabeth Stewart</cp:lastModifiedBy>
  <cp:revision>1</cp:revision>
  <dcterms:created xsi:type="dcterms:W3CDTF">2021-09-29T09:39:00Z</dcterms:created>
  <dcterms:modified xsi:type="dcterms:W3CDTF">2021-09-29T09:42:00Z</dcterms:modified>
</cp:coreProperties>
</file>